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3.png" ContentType="image/png"/>
  <Override PartName="/word/media/image22.png" ContentType="image/png"/>
  <Override PartName="/word/media/image21.png" ContentType="image/png"/>
  <Override PartName="/word/media/image4.png" ContentType="image/png"/>
  <Override PartName="/word/media/image27.png" ContentType="image/png"/>
  <Override PartName="/word/media/image28.png" ContentType="image/png"/>
  <Override PartName="/word/media/image5.png" ContentType="image/png"/>
  <Override PartName="/word/media/image30.png" ContentType="image/png"/>
  <Override PartName="/word/media/image10.png" ContentType="image/png"/>
  <Override PartName="/word/media/image29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3.png" ContentType="image/png"/>
  <Override PartName="/word/media/image26.png" ContentType="image/png"/>
  <Override PartName="/word/media/image32.png" ContentType="image/png"/>
  <Override PartName="/word/media/image2.png" ContentType="image/png"/>
  <Override PartName="/word/media/image25.png" ContentType="image/png"/>
  <Override PartName="/word/media/image31.png" ContentType="image/png"/>
  <Override PartName="/word/media/image1.png" ContentType="image/png"/>
  <Override PartName="/word/media/image24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20.png" ContentType="image/png"/>
  <Override PartName="/word/media/image19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A"/>
        <w:pBdr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Инструкция по использованию функциональности «Согласования ЕССК» </w:t>
      </w:r>
    </w:p>
    <w:p>
      <w:pPr>
        <w:pStyle w:val="A"/>
        <w:pBdr/>
        <w:tabs>
          <w:tab w:val="clear" w:pos="708"/>
          <w:tab w:val="left" w:pos="0" w:leader="none"/>
        </w:tabs>
        <w:spacing w:before="0" w:after="12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для получения необходимых документов и разрешений по принципу одного окна для организаций, выполняющих подключения к инженерным сетям</w:t>
      </w:r>
    </w:p>
    <w:p>
      <w:pPr>
        <w:pStyle w:val="A"/>
        <w:numPr>
          <w:ilvl w:val="0"/>
          <w:numId w:val="1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Ref90913924"/>
      <w:r>
        <w:rPr>
          <w:rFonts w:cs="Times New Roman" w:ascii="Times New Roman" w:hAnsi="Times New Roman"/>
          <w:b/>
          <w:sz w:val="24"/>
          <w:szCs w:val="24"/>
        </w:rPr>
        <w:t>Назначение</w:t>
      </w:r>
      <w:bookmarkEnd w:id="0"/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Согласования ЕССК обеспечивают: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заявителя (инициатора согласования) – возможность оформление по принципу одного окна разрешения на использование земель или земельных участков, получения порубочного билета, оформление ордера на производство земляных работ: связанных с благоустройством территории Санкт-Петербурга, для выполнения работ при подключении (технологическом присоединении) к системам теплоснабжения, к централизованным системам водоснабжения и водоотведения, к сетям газораспределения, электрическим сетям, а также при присоединении сетей связи;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организаций, участвующих в предоставлении необходимой информации, оформлении и выдаче документов для заявителя (участников согласования) – информационное взаимодействие и направление решений по согласованию заявки, необходимых для получения ордеров на производство работ.</w:t>
      </w:r>
    </w:p>
    <w:p>
      <w:pPr>
        <w:pStyle w:val="Normal"/>
        <w:pBdr/>
        <w:ind w:firstLine="709"/>
        <w:rPr>
          <w:lang w:val="ru-RU"/>
        </w:rPr>
      </w:pPr>
      <w:r>
        <w:rPr>
          <w:lang w:val="ru-RU"/>
        </w:rPr>
        <w:t>Заявителями являются ресурсоснабжающие организации (далее – РСО).</w:t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Участниками согласования являются: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владельцы инженерных коммуникаций (далее Владельцы);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Государственная административно-техническая инспекция (далее - ГАТИ);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Комитет по градостроительству и архитектуре (далее - КГА);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Комитет по благоустройству Санкт-Петербурга (далее - КБ);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Комитет имущественных отношений Санкт-Петербурга (далее - КИО);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Комитет по государственному контролю, использованию и охране памятников истории и культуры (далее - КГИОП);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Комитет по транспорту (далее - КТ).</w:t>
      </w:r>
    </w:p>
    <w:p>
      <w:pPr>
        <w:pStyle w:val="A"/>
        <w:numPr>
          <w:ilvl w:val="0"/>
          <w:numId w:val="1"/>
        </w:numPr>
        <w:pBdr/>
        <w:ind w:left="0" w:firstLine="709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Необходимые условия</w:t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того, чтобы воспользоваться Согласованиями ЕССК необходимо: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зарегистрировать организацию в ЕССК (подключится к ЕССК) в качестве организации, участвующей в исполнении государственных услуг;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зарегистрировать в ЕССК пользователей организации, с ролью «Исполнитель» и правами доступа: 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«Создавать согласования» – для просмотра и инициации собственных согласований;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«Участвовать в согласованиях» – для просмотра и принятия решения по поступившим на рассмотрение в адрес организации согласованиям; </w:t>
      </w:r>
    </w:p>
    <w:p>
      <w:pPr>
        <w:pStyle w:val="A"/>
        <w:numPr>
          <w:ilvl w:val="0"/>
          <w:numId w:val="2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«Просматривать согласования» – для просмотра согласований, без возможности принятия решения по согласованию.</w:t>
      </w:r>
    </w:p>
    <w:p>
      <w:pPr>
        <w:pStyle w:val="A"/>
        <w:pBdr/>
        <w:ind w:left="709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Инструкция по получению учетной записи в ЕССК приведена в Приложении № 2.</w:t>
      </w:r>
    </w:p>
    <w:p>
      <w:pPr>
        <w:pStyle w:val="A"/>
        <w:numPr>
          <w:ilvl w:val="0"/>
          <w:numId w:val="1"/>
        </w:numPr>
        <w:pBdr/>
        <w:ind w:left="0" w:firstLine="709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Порядок проведения согласований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Сотрудник ресурсоснабжающей организации (далее – РСО) создает новое согласование, прилагает к нему необходимые документы, содержащие в том числе параметры объекта, инженерных коммуникаций и энергопринимающих устройств и запускает подготовленное согласование.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Участники согласования получают соответствующее уведомление о поступлении согласования в ЕССК.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Каждый участник согласования:</w:t>
      </w:r>
    </w:p>
    <w:p>
      <w:pPr>
        <w:pStyle w:val="A"/>
        <w:numPr>
          <w:ilvl w:val="2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переходит в личный кабинет ЕССК в раздел «Согласования»;</w:t>
      </w:r>
    </w:p>
    <w:p>
      <w:pPr>
        <w:pStyle w:val="A"/>
        <w:numPr>
          <w:ilvl w:val="2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знакомится с направленной инициатором согласования документацией, при необходимости, выполняет проверки и обследования, предусмотренные регламентом подготовки оформляемого участником согласования документа;</w:t>
      </w:r>
    </w:p>
    <w:p>
      <w:pPr>
        <w:pStyle w:val="A"/>
        <w:numPr>
          <w:ilvl w:val="2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выносит решение (согласование или отказ) с прикреплением соответствующих подготовленных документов.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Согласование продолжается до момента принятия решения всеми участниками согласования.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Срок проведения согласования для всех участников согласования не должен превышать 8 календарных дней, за исключением ГАТИ.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 согласования ГАТИ принимает решение после принятия решения остальными участниками, прилагая к нему необходимые документы, в срок не более 12 календарных дней со дня запуска согласования его инициатором.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 согласования ГАТИ переходит ко второму шагу согласования и завершает согласование итоговым решением.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Если итоговое решение по заявке является отказом, для начала повторного согласования по отклоненной заявке сотрудник РСО заполняет соответствующую форму, указывает номер первичной заявки (которая была отклонена) и параметры объекта, инженерных коммуникаций и энергопринимающих устройств, размещает необходимые документы, подписывает и повторно отправляет заявку.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Участники согласования повторно проверяют поступившие документы, независимо от того, было ли вынесено решение при первом согласовании до момента его отклонения.</w:t>
      </w:r>
    </w:p>
    <w:p>
      <w:pPr>
        <w:pStyle w:val="A"/>
        <w:numPr>
          <w:ilvl w:val="1"/>
          <w:numId w:val="3"/>
        </w:numPr>
        <w:pBdr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После завершения согласования сотрудники РСО получают возможность выгрузить необходимую ему документацию из состава дела по согласованию.</w:t>
      </w:r>
    </w:p>
    <w:p>
      <w:pPr>
        <w:pStyle w:val="A"/>
        <w:pBdr/>
        <w:ind w:left="709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Руководство пользователя по созданию согласований приведено в Приложении № 1</w:t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A"/>
        <w:pBdr/>
        <w:spacing w:before="0" w:after="240"/>
        <w:ind w:firstLine="709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Приложение № 1</w:t>
      </w:r>
    </w:p>
    <w:p>
      <w:pPr>
        <w:pStyle w:val="1"/>
        <w:spacing w:before="0" w:after="120"/>
        <w:contextualSpacing/>
        <w:rPr/>
      </w:pPr>
      <w:r>
        <w:rPr/>
        <w:t>Руководство пользователя Согласований ЕССК.</w:t>
      </w:r>
    </w:p>
    <w:p>
      <w:pPr>
        <w:pStyle w:val="1"/>
        <w:spacing w:before="0" w:after="120"/>
        <w:contextualSpacing/>
        <w:rPr/>
      </w:pPr>
      <w:r>
        <w:rPr/>
        <w:t>Создание согласований</w:t>
      </w:r>
    </w:p>
    <w:p>
      <w:pPr>
        <w:pStyle w:val="1"/>
        <w:spacing w:before="0" w:after="0"/>
        <w:ind w:firstLine="709"/>
        <w:contextualSpacing/>
        <w:rPr/>
      </w:pPr>
      <w:r>
        <w:rPr/>
      </w:r>
    </w:p>
    <w:p>
      <w:pPr>
        <w:pStyle w:val="Normal"/>
        <w:numPr>
          <w:ilvl w:val="0"/>
          <w:numId w:val="4"/>
        </w:numPr>
        <w:pBdr/>
        <w:spacing w:before="0" w:after="160"/>
        <w:ind w:left="0" w:firstLine="709"/>
        <w:contextualSpacing/>
        <w:rPr>
          <w:rFonts w:eastAsia="Calibri" w:eastAsiaTheme="minorHAnsi"/>
          <w:b/>
          <w:b/>
          <w:lang w:val="ru-RU"/>
        </w:rPr>
      </w:pPr>
      <w:r>
        <w:rPr>
          <w:rFonts w:eastAsia="Calibri" w:eastAsiaTheme="minorHAnsi"/>
          <w:b/>
          <w:lang w:val="ru-RU"/>
        </w:rPr>
        <w:t>Начало работы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Для использования функциональности «Согласования ЕССК» необходимо авторизоваться в ЕССК с ролью «Исполнитель». Для этого перейдите по ссылке </w:t>
      </w:r>
      <w:hyperlink r:id="rId2">
        <w:r>
          <w:rPr>
            <w:rFonts w:eastAsia="Calibri"/>
            <w:lang w:val="ru-RU"/>
          </w:rPr>
          <w:t>http://essk.gov.spb.ru/public</w:t>
        </w:r>
      </w:hyperlink>
      <w:r>
        <w:rPr>
          <w:rFonts w:eastAsia="Calibri"/>
          <w:lang w:val="ru-RU"/>
        </w:rPr>
        <w:t xml:space="preserve"> и на открывшейся странице нажмите на кнопку «Войти как исполнитель»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_Ref90898676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1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).</w:t>
      </w:r>
    </w:p>
    <w:p>
      <w:pPr>
        <w:pStyle w:val="Normal"/>
        <w:keepNext w:val="true"/>
        <w:widowControl w:val="false"/>
        <w:pBdr/>
        <w:jc w:val="center"/>
        <w:rPr/>
      </w:pPr>
      <w:r>
        <w:rPr/>
        <w:drawing>
          <wp:inline distT="0" distB="0" distL="0" distR="0">
            <wp:extent cx="5502910" cy="2571750"/>
            <wp:effectExtent l="0" t="0" r="0" b="0"/>
            <wp:docPr id="1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0" w:after="120"/>
        <w:ind w:firstLine="709"/>
        <w:jc w:val="center"/>
        <w:rPr>
          <w:rFonts w:eastAsia="Calibri"/>
          <w:bCs/>
          <w:lang w:val="ru-RU" w:eastAsia="ru-RU"/>
        </w:rPr>
      </w:pPr>
      <w:bookmarkStart w:id="1" w:name="_Ref90898676"/>
      <w:r>
        <w:rPr>
          <w:rFonts w:eastAsia="Calibri"/>
          <w:bCs/>
          <w:lang w:val="ru-RU" w:eastAsia="ru-RU"/>
        </w:rPr>
        <w:t xml:space="preserve">Рисунок </w:t>
      </w:r>
      <w:r>
        <w:rPr>
          <w:rFonts w:eastAsia="Calibri"/>
          <w:bCs/>
          <w:lang w:val="ru-RU" w:eastAsia="ru-RU"/>
        </w:rPr>
        <w:fldChar w:fldCharType="begin"/>
      </w:r>
      <w:r>
        <w:rPr>
          <w:bCs/>
          <w:rFonts w:eastAsia="Calibri"/>
          <w:lang w:val="ru-RU" w:eastAsia="ru-RU"/>
        </w:rPr>
        <w:instrText> SEQ Рисунок \* ARABIC </w:instrText>
      </w:r>
      <w:r>
        <w:rPr>
          <w:bCs/>
          <w:rFonts w:eastAsia="Calibri"/>
          <w:lang w:val="ru-RU" w:eastAsia="ru-RU"/>
        </w:rPr>
        <w:fldChar w:fldCharType="separate"/>
      </w:r>
      <w:r>
        <w:rPr>
          <w:bCs/>
          <w:rFonts w:eastAsia="Calibri"/>
          <w:lang w:val="ru-RU" w:eastAsia="ru-RU"/>
        </w:rPr>
        <w:t>1</w:t>
      </w:r>
      <w:r>
        <w:rPr>
          <w:bCs/>
          <w:rFonts w:eastAsia="Calibri"/>
          <w:lang w:val="ru-RU" w:eastAsia="ru-RU"/>
        </w:rPr>
        <w:fldChar w:fldCharType="end"/>
      </w:r>
      <w:bookmarkEnd w:id="1"/>
      <w:r>
        <w:rPr>
          <w:rFonts w:eastAsia="Calibri"/>
          <w:bCs/>
          <w:lang w:val="ru-RU" w:eastAsia="ru-RU"/>
        </w:rPr>
        <w:t xml:space="preserve"> – Переход к авторизации в ЕССК</w:t>
      </w:r>
    </w:p>
    <w:p>
      <w:pPr>
        <w:pStyle w:val="Normal"/>
        <w:pBdr/>
        <w:spacing w:before="0" w:after="120"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Введите ваши учетные данные в полях «Логин» и «Пароль» и нажмите на кнопку «Войти»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_Ref90899081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2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5606415" cy="3313430"/>
            <wp:effectExtent l="0" t="0" r="0" b="0"/>
            <wp:docPr id="2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2" w:name="_Ref90899081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2</w:t>
      </w:r>
      <w:r>
        <w:rPr>
          <w:lang w:val="ru-RU" w:eastAsia="ru-RU"/>
        </w:rPr>
        <w:fldChar w:fldCharType="end"/>
      </w:r>
      <w:bookmarkEnd w:id="2"/>
      <w:r>
        <w:rPr>
          <w:lang w:val="ru-RU" w:eastAsia="ru-RU"/>
        </w:rPr>
        <w:t xml:space="preserve"> – Авторизации в ЕССК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После авторизации в ЕССК необходимо перейти в раздел «Согласования», который находится в блоке «Личный кабинет» веб-интерфейса ЕССК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_Ref59550245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3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):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В разделе отображается таблица со списком согласований, со следующими столбцами: 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«Сейчас на рассмотрении» – в столбце отображается признак, указывающий на то, что согласование находится на рассмотрении в организации, к которой относиться текущий пользователь. Согласования, находящееся на рассмотрении в организации пользователя и требующие принятия решения по согласованию отмечены пиктограммой «</w:t>
      </w:r>
      <w:r>
        <w:rPr/>
        <w:drawing>
          <wp:inline distT="0" distB="0" distL="0" distR="0">
            <wp:extent cx="180975" cy="152400"/>
            <wp:effectExtent l="0" t="0" r="0" b="0"/>
            <wp:docPr id="3" name="Рисунок 2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0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», при этом согласования, по которым требуется принять решение и по которым истек срок принятия решения (просроченные согласования), дополнительно отмечаются пиктограммой «</w:t>
      </w:r>
      <w:r>
        <w:rPr/>
        <w:drawing>
          <wp:inline distT="0" distB="0" distL="0" distR="0">
            <wp:extent cx="142875" cy="333375"/>
            <wp:effectExtent l="0" t="0" r="0" b="0"/>
            <wp:docPr id="4" name="Рисунок 2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0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 в левой части таблицы. Согласования, принятие решений по которым в соответствии с настройками маршрута согласования в настоящий момент невозможно отмечены пиктограммой «</w:t>
      </w:r>
      <w:r>
        <w:rPr/>
        <w:drawing>
          <wp:inline distT="0" distB="0" distL="0" distR="0">
            <wp:extent cx="179705" cy="151765"/>
            <wp:effectExtent l="0" t="0" r="0" b="0"/>
            <wp:docPr id="5" name="Рисунок 2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0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«Номер» – уникальный номер согласования в ЕССК;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«Статус» – текущий статус согласования. Согласование может быть в статусах: «Черновик», «Запущено», «Согласовано», «Отклонено»;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«Наименование» – наименование созданного согласования;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«Инициатор» – организация, пользователь которой создал согласование;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«Дата создания» – дата подготовки согласования, для его последующего проведения;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«Дата запуска согласования» – дата начала проведения согласования;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«Плановая дата завершения согласования» – ожидаемая дата завершения согласования в соответствии с максимальным из установленных сроков согласования для организаций, участвующих в согласовании;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«Дата завершения согласования» – дата завершения согласования;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«Автор изменений» – ФИО пользователя, который внес последние изменения в согласование.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210300" cy="2864485"/>
            <wp:effectExtent l="0" t="0" r="0" b="0"/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3" w:name="_Ref59550245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3</w:t>
      </w:r>
      <w:r>
        <w:rPr>
          <w:lang w:val="ru-RU" w:eastAsia="ru-RU"/>
        </w:rPr>
        <w:fldChar w:fldCharType="end"/>
      </w:r>
      <w:bookmarkEnd w:id="3"/>
      <w:r>
        <w:rPr>
          <w:lang w:val="ru-RU" w:eastAsia="ru-RU"/>
        </w:rPr>
        <w:t xml:space="preserve"> – Таблица со списком согласований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Нажатие на кнопку «Фильтры»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_Ref81818087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4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 позволяет осуществить поиск, либо фильтрацию согласований по их параметрам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_Ref81818341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5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). При помощи пиктограммы «</w:t>
      </w:r>
      <w:r>
        <w:rPr/>
        <w:drawing>
          <wp:inline distT="0" distB="0" distL="0" distR="0">
            <wp:extent cx="228600" cy="200025"/>
            <wp:effectExtent l="0" t="0" r="0" b="0"/>
            <wp:docPr id="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lang w:val="ru-RU"/>
        </w:rPr>
        <w:t>»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_Ref81818087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4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 можно настроить отображение столбцов таблицы согласований.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210300" cy="2062480"/>
            <wp:effectExtent l="0" t="0" r="0" b="0"/>
            <wp:docPr id="8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4" w:name="_Ref81818071"/>
      <w:bookmarkStart w:id="5" w:name="_Ref81818087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4</w:t>
      </w:r>
      <w:r>
        <w:rPr>
          <w:lang w:val="ru-RU" w:eastAsia="ru-RU"/>
        </w:rPr>
        <w:fldChar w:fldCharType="end"/>
      </w:r>
      <w:bookmarkEnd w:id="5"/>
      <w:r>
        <w:rPr>
          <w:lang w:val="ru-RU" w:eastAsia="ru-RU"/>
        </w:rPr>
        <w:t xml:space="preserve"> – Настройка вида таблицы согласований</w:t>
      </w:r>
      <w:bookmarkEnd w:id="4"/>
    </w:p>
    <w:p>
      <w:pPr>
        <w:pStyle w:val="Normal"/>
        <w:keepNext w:val="true"/>
        <w:pBdr/>
        <w:spacing w:before="0" w:after="120"/>
        <w:jc w:val="center"/>
        <w:rPr>
          <w:rFonts w:eastAsia="Calibri" w:eastAsiaTheme="minorHAnsi"/>
          <w:lang w:val="ru-RU"/>
        </w:rPr>
      </w:pPr>
      <w:r>
        <w:rPr/>
        <w:drawing>
          <wp:inline distT="0" distB="0" distL="0" distR="0">
            <wp:extent cx="6210300" cy="1678940"/>
            <wp:effectExtent l="0" t="0" r="0" b="0"/>
            <wp:docPr id="9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0" w:after="120"/>
        <w:jc w:val="center"/>
        <w:rPr>
          <w:rFonts w:eastAsia="Calibri"/>
          <w:bCs/>
          <w:lang w:val="ru-RU" w:eastAsia="ru-RU"/>
        </w:rPr>
      </w:pPr>
      <w:bookmarkStart w:id="6" w:name="_Ref81818341"/>
      <w:r>
        <w:rPr>
          <w:rFonts w:eastAsia="Calibri"/>
          <w:bCs/>
          <w:lang w:val="ru-RU" w:eastAsia="ru-RU"/>
        </w:rPr>
        <w:t xml:space="preserve">Рисунок </w:t>
      </w:r>
      <w:r>
        <w:rPr>
          <w:rFonts w:eastAsia="Calibri"/>
          <w:bCs/>
          <w:lang w:val="ru-RU" w:eastAsia="ru-RU"/>
        </w:rPr>
        <w:fldChar w:fldCharType="begin"/>
      </w:r>
      <w:r>
        <w:rPr>
          <w:bCs/>
          <w:rFonts w:eastAsia="Calibri"/>
          <w:lang w:val="ru-RU" w:eastAsia="ru-RU"/>
        </w:rPr>
        <w:instrText> SEQ Рисунок \* ARABIC </w:instrText>
      </w:r>
      <w:r>
        <w:rPr>
          <w:bCs/>
          <w:rFonts w:eastAsia="Calibri"/>
          <w:lang w:val="ru-RU" w:eastAsia="ru-RU"/>
        </w:rPr>
        <w:fldChar w:fldCharType="separate"/>
      </w:r>
      <w:r>
        <w:rPr>
          <w:bCs/>
          <w:rFonts w:eastAsia="Calibri"/>
          <w:lang w:val="ru-RU" w:eastAsia="ru-RU"/>
        </w:rPr>
        <w:t>5</w:t>
      </w:r>
      <w:r>
        <w:rPr>
          <w:bCs/>
          <w:rFonts w:eastAsia="Calibri"/>
          <w:lang w:val="ru-RU" w:eastAsia="ru-RU"/>
        </w:rPr>
        <w:fldChar w:fldCharType="end"/>
      </w:r>
      <w:bookmarkEnd w:id="6"/>
      <w:r>
        <w:rPr>
          <w:rFonts w:eastAsia="Calibri"/>
          <w:bCs/>
          <w:lang w:val="ru-RU" w:eastAsia="ru-RU"/>
        </w:rPr>
        <w:t xml:space="preserve"> – Установка параметров фильтрации и поиска записей в таблице согласований</w:t>
      </w:r>
    </w:p>
    <w:p>
      <w:pPr>
        <w:pStyle w:val="Normal"/>
        <w:numPr>
          <w:ilvl w:val="0"/>
          <w:numId w:val="4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b/>
          <w:b/>
          <w:lang w:val="ru-RU"/>
        </w:rPr>
      </w:pPr>
      <w:r>
        <w:rPr>
          <w:rFonts w:eastAsia="Calibri" w:eastAsiaTheme="minorHAnsi"/>
          <w:b/>
          <w:lang w:val="ru-RU"/>
        </w:rPr>
        <w:t>Создание нового согласования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Для создания нового согласования необходимо находясь в разделе «Согласования» нажать на кнопку «Создать», которая расположена справа, выше таблицы согласований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_Ref90903757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6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120765" cy="2693670"/>
            <wp:effectExtent l="0" t="0" r="0" b="0"/>
            <wp:docPr id="10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7" w:name="_Ref90903757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6</w:t>
      </w:r>
      <w:r>
        <w:rPr>
          <w:lang w:val="ru-RU" w:eastAsia="ru-RU"/>
        </w:rPr>
        <w:fldChar w:fldCharType="end"/>
      </w:r>
      <w:bookmarkEnd w:id="7"/>
      <w:r>
        <w:rPr>
          <w:lang w:val="ru-RU" w:eastAsia="ru-RU"/>
        </w:rPr>
        <w:t xml:space="preserve"> – Переход к созданию нового согласования</w:t>
      </w:r>
    </w:p>
    <w:p>
      <w:pPr>
        <w:pStyle w:val="Normal"/>
        <w:pBdr/>
        <w:ind w:firstLine="709"/>
        <w:jc w:val="both"/>
        <w:rPr>
          <w:rFonts w:eastAsia="Calibri"/>
          <w:bCs/>
          <w:lang w:val="ru-RU" w:eastAsia="ru-RU"/>
        </w:rPr>
      </w:pPr>
      <w:r>
        <w:rPr>
          <w:rFonts w:eastAsia="Calibri"/>
          <w:bCs/>
          <w:lang w:val="ru-RU" w:eastAsia="ru-RU"/>
        </w:rPr>
        <w:t>Откроется карточка создания нового согласования (</w:t>
      </w:r>
      <w:r>
        <w:rPr>
          <w:rFonts w:eastAsia="Calibri"/>
          <w:bCs/>
          <w:lang w:val="ru-RU" w:eastAsia="ru-RU"/>
        </w:rPr>
        <w:fldChar w:fldCharType="begin"/>
      </w:r>
      <w:r>
        <w:rPr>
          <w:bCs/>
          <w:rFonts w:eastAsia="Calibri"/>
          <w:lang w:val="ru-RU" w:eastAsia="ru-RU"/>
        </w:rPr>
        <w:instrText> REF _Ref90904645 \h </w:instrText>
      </w:r>
      <w:r>
        <w:rPr>
          <w:bCs/>
          <w:rFonts w:eastAsia="Calibri"/>
          <w:lang w:val="ru-RU" w:eastAsia="ru-RU"/>
        </w:rPr>
        <w:fldChar w:fldCharType="separate"/>
      </w:r>
      <w:r>
        <w:rPr>
          <w:bCs/>
          <w:rFonts w:eastAsia="Calibri"/>
          <w:lang w:val="ru-RU" w:eastAsia="ru-RU"/>
        </w:rPr>
        <w:t>рисунок 7</w:t>
      </w:r>
      <w:r>
        <w:rPr>
          <w:bCs/>
          <w:rFonts w:eastAsia="Calibri"/>
          <w:lang w:val="ru-RU" w:eastAsia="ru-RU"/>
        </w:rPr>
        <w:fldChar w:fldCharType="end"/>
      </w:r>
      <w:r>
        <w:rPr>
          <w:rFonts w:eastAsia="Calibri"/>
          <w:bCs/>
          <w:lang w:val="ru-RU" w:eastAsia="ru-RU"/>
        </w:rPr>
        <w:t>), в которой необходимо: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выбрать маршрут согласования с наименованием «Оформление документов, необходимых для проведения работ, выполняемых при технологическом присоединении»;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указать наименование нового согласования и предмет согласования;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нажать на кнопку «Сохранить».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120765" cy="2839720"/>
            <wp:effectExtent l="0" t="0" r="0" b="0"/>
            <wp:docPr id="11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8" w:name="_Ref90904645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7</w:t>
      </w:r>
      <w:r>
        <w:rPr>
          <w:lang w:val="ru-RU" w:eastAsia="ru-RU"/>
        </w:rPr>
        <w:fldChar w:fldCharType="end"/>
      </w:r>
      <w:bookmarkEnd w:id="8"/>
      <w:r>
        <w:rPr>
          <w:lang w:val="ru-RU" w:eastAsia="ru-RU"/>
        </w:rPr>
        <w:t xml:space="preserve"> – Создание согласования. Основные параметры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После сохранения основных параметров согласования необходимо приложить к согласованию направляемые документы. Для это для каждой из обязательных папок загрузки документации следует добавить документ, нажимая на кнопку «Добавить документы в папку» напротив соответствующего наименования папки для загрузки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_Ref90905819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8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120765" cy="3360420"/>
            <wp:effectExtent l="0" t="0" r="0" b="0"/>
            <wp:docPr id="12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9" w:name="_Ref90905819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8</w:t>
      </w:r>
      <w:r>
        <w:rPr>
          <w:lang w:val="ru-RU" w:eastAsia="ru-RU"/>
        </w:rPr>
        <w:fldChar w:fldCharType="end"/>
      </w:r>
      <w:bookmarkEnd w:id="9"/>
      <w:r>
        <w:rPr>
          <w:lang w:val="ru-RU" w:eastAsia="ru-RU"/>
        </w:rPr>
        <w:t xml:space="preserve"> – Переход к добавлению документа к согласованию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При нажатии на кнопку «Добавить документы в папку» откроется форма добавления файлов в выбранную папку для документов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_Ref90906125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9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120765" cy="4351655"/>
            <wp:effectExtent l="0" t="0" r="0" b="0"/>
            <wp:docPr id="13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10" w:name="_Ref90906125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9</w:t>
      </w:r>
      <w:r>
        <w:rPr>
          <w:lang w:val="ru-RU" w:eastAsia="ru-RU"/>
        </w:rPr>
        <w:fldChar w:fldCharType="end"/>
      </w:r>
      <w:bookmarkEnd w:id="10"/>
      <w:r>
        <w:rPr>
          <w:lang w:val="ru-RU" w:eastAsia="ru-RU"/>
        </w:rPr>
        <w:t xml:space="preserve"> – Добавление файлов в выбранную папку для документов</w:t>
      </w:r>
    </w:p>
    <w:p>
      <w:pPr>
        <w:pStyle w:val="Normal"/>
        <w:pBdr/>
        <w:ind w:firstLine="709"/>
        <w:jc w:val="both"/>
        <w:rPr>
          <w:rFonts w:eastAsia="Calibri"/>
          <w:bCs/>
          <w:lang w:val="ru-RU" w:eastAsia="ru-RU"/>
        </w:rPr>
      </w:pPr>
      <w:r>
        <w:rPr>
          <w:rFonts w:eastAsia="Calibri"/>
          <w:bCs/>
          <w:lang w:val="ru-RU" w:eastAsia="ru-RU"/>
        </w:rPr>
        <w:t>Для того, чтобы открыть окно с выбором загружаемого файла нажмите на пиктограмму «</w:t>
      </w:r>
      <w:r>
        <w:rPr/>
        <w:drawing>
          <wp:inline distT="0" distB="0" distL="0" distR="0">
            <wp:extent cx="171450" cy="202565"/>
            <wp:effectExtent l="0" t="0" r="0" b="0"/>
            <wp:docPr id="14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Cs/>
          <w:lang w:val="ru-RU" w:eastAsia="ru-RU"/>
        </w:rPr>
        <w:t>». Загруженный файл отобразится ниже, а справа от наименования файла появятся пиктограммы: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</w:t>
      </w:r>
      <w:r>
        <w:rPr/>
        <w:drawing>
          <wp:inline distT="0" distB="0" distL="0" distR="0">
            <wp:extent cx="219075" cy="209550"/>
            <wp:effectExtent l="0" t="0" r="0" b="0"/>
            <wp:docPr id="15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 – для подписания загруженного файла установленной в системе у пользователя электронной подписью;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</w:t>
      </w:r>
      <w:r>
        <w:rPr/>
        <w:drawing>
          <wp:inline distT="0" distB="0" distL="0" distR="0">
            <wp:extent cx="219075" cy="190500"/>
            <wp:effectExtent l="0" t="0" r="0" b="0"/>
            <wp:docPr id="16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 – для подписания загруженного файла отсоединенной электронной подписью (приложение к загруженному файлу его электронной подписи, содержащейся в отдельном фале);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 xml:space="preserve"> </w:t>
      </w:r>
      <w:r>
        <w:rPr>
          <w:rFonts w:eastAsia="Calibri" w:eastAsiaTheme="minorHAnsi"/>
          <w:lang w:val="ru-RU"/>
        </w:rPr>
        <w:t>«</w:t>
      </w:r>
      <w:r>
        <w:rPr/>
        <w:drawing>
          <wp:inline distT="0" distB="0" distL="0" distR="0">
            <wp:extent cx="238125" cy="200025"/>
            <wp:effectExtent l="0" t="0" r="0" b="0"/>
            <wp:docPr id="17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 – для удаления загруженного файла.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Подпишите каждый из загруженных файлов. 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Нажмите на кнопку «Сохранить». Если какие-то из загружаемых файлов не были подписаны, появится окно выбора сертификата электронной подписи, которой будут подписаны все загруженные файлы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_Ref90907410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10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Выберите нужный сертификат и нажмите на кнопку «Применить». В карточке создания нового согласования в блоке с наименованием папки загрузки отобразится список файлов, которые были загружены в папку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_Ref90907418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11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 xml:space="preserve">). </w:t>
      </w:r>
    </w:p>
    <w:p>
      <w:pPr>
        <w:pStyle w:val="Normal"/>
        <w:widowControl w:val="false"/>
        <w:pBdr/>
        <w:ind w:firstLine="709"/>
        <w:jc w:val="both"/>
        <w:rPr>
          <w:rFonts w:eastAsia="Calibri" w:eastAsiaTheme="minorHAnsi"/>
          <w:lang w:val="ru-RU"/>
        </w:rPr>
      </w:pPr>
      <w:r>
        <w:rPr>
          <w:rFonts w:eastAsia="Calibri"/>
          <w:lang w:val="ru-RU"/>
        </w:rPr>
        <w:t xml:space="preserve">Нажатие на пиктограмму </w:t>
      </w:r>
      <w:r>
        <w:rPr>
          <w:rFonts w:eastAsia="Calibri" w:eastAsiaTheme="minorHAnsi"/>
          <w:lang w:val="ru-RU"/>
        </w:rPr>
        <w:t>«</w:t>
      </w:r>
      <w:r>
        <w:rPr/>
        <w:drawing>
          <wp:inline distT="0" distB="0" distL="0" distR="0">
            <wp:extent cx="219075" cy="209550"/>
            <wp:effectExtent l="0" t="0" r="0" b="0"/>
            <wp:docPr id="18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 xml:space="preserve">» покажет информацию об электронной подписи, которой был подписан загруженный файл. 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 w:eastAsiaTheme="minorHAnsi"/>
          <w:lang w:val="ru-RU"/>
        </w:rPr>
        <w:t>Нажатие на пиктограмму «</w:t>
      </w:r>
      <w:r>
        <w:rPr/>
        <w:drawing>
          <wp:inline distT="0" distB="0" distL="0" distR="0">
            <wp:extent cx="238125" cy="200025"/>
            <wp:effectExtent l="0" t="0" r="0" b="0"/>
            <wp:docPr id="19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 приведет к удалению загруженного файла из папки.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5882640" cy="2389505"/>
            <wp:effectExtent l="0" t="0" r="0" b="0"/>
            <wp:docPr id="20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11" w:name="_Ref90907410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10</w:t>
      </w:r>
      <w:r>
        <w:rPr>
          <w:lang w:val="ru-RU" w:eastAsia="ru-RU"/>
        </w:rPr>
        <w:fldChar w:fldCharType="end"/>
      </w:r>
      <w:bookmarkEnd w:id="11"/>
      <w:r>
        <w:rPr>
          <w:lang w:val="ru-RU" w:eastAsia="ru-RU"/>
        </w:rPr>
        <w:t xml:space="preserve"> – Выбор сертификата электронной подписи</w:t>
      </w:r>
    </w:p>
    <w:p>
      <w:pPr>
        <w:pStyle w:val="Normal"/>
        <w:keepNext w:val="true"/>
        <w:widowControl w:val="false"/>
        <w:pBdr/>
        <w:ind w:firstLine="709"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120765" cy="2686685"/>
            <wp:effectExtent l="0" t="0" r="0" b="0"/>
            <wp:docPr id="21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12" w:name="_Ref90907418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11</w:t>
      </w:r>
      <w:r>
        <w:rPr>
          <w:lang w:val="ru-RU" w:eastAsia="ru-RU"/>
        </w:rPr>
        <w:fldChar w:fldCharType="end"/>
      </w:r>
      <w:bookmarkEnd w:id="12"/>
      <w:r>
        <w:rPr>
          <w:lang w:val="ru-RU" w:eastAsia="ru-RU"/>
        </w:rPr>
        <w:t>– Список загруженных в папку файлов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Ниже области загрузки файлов в папки загрузки отображается информация о маршруте согласования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_Ref90912458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12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), которая представлена в виде таблицы решений по каждому шагу согласования. Описание таблицы решений по шагу согласования приводится в п.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_Ref59561202 \r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3.1.1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 xml:space="preserve">. 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Маршрут согласования настраивается администратором ЕССК и недоступен к изменению для организации, использующей Согласования ЕССК.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120765" cy="3209925"/>
            <wp:effectExtent l="0" t="0" r="0" b="0"/>
            <wp:docPr id="22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13" w:name="_Ref90912458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12</w:t>
      </w:r>
      <w:r>
        <w:rPr>
          <w:lang w:val="ru-RU" w:eastAsia="ru-RU"/>
        </w:rPr>
        <w:fldChar w:fldCharType="end"/>
      </w:r>
      <w:bookmarkEnd w:id="13"/>
      <w:r>
        <w:rPr>
          <w:lang w:val="ru-RU" w:eastAsia="ru-RU"/>
        </w:rPr>
        <w:t xml:space="preserve"> – Таблица маршрута согласования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После загрузки всех необходимых документов, которые прикладываются к создаваемому согласованию, нажмите на кнопку «Сохранить», в правом нижнем углу карточки создания нового согласования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_Ref90912458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12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Создание нового согласования будет завершено, откроется карточка созданного согласования в статусе «Черновик»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_Ref90912782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13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На вкладке «Согласование» отображается маршрут согласования.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На вкладке «Состав дела» отображаются приложенные к согласованию документы.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Для редактирования черновика согласования нажмите на кнопку «Редактировать». Откроется карточка редактирования согласования, которая аналогична описанной выше карточки создания согласования.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Для запуска черновика согласования нажмите на кнопку «Запустить согласование»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_Ref90912782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13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 и подтвердите свое решение, нажатием на кнопку «Ок».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120765" cy="3006725"/>
            <wp:effectExtent l="0" t="0" r="0" b="0"/>
            <wp:docPr id="23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14" w:name="_Ref90912782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13</w:t>
      </w:r>
      <w:r>
        <w:rPr>
          <w:lang w:val="ru-RU" w:eastAsia="ru-RU"/>
        </w:rPr>
        <w:fldChar w:fldCharType="end"/>
      </w:r>
      <w:bookmarkEnd w:id="14"/>
      <w:r>
        <w:rPr>
          <w:lang w:val="ru-RU" w:eastAsia="ru-RU"/>
        </w:rPr>
        <w:t xml:space="preserve"> – Черновик согласования</w:t>
      </w:r>
    </w:p>
    <w:p>
      <w:pPr>
        <w:pStyle w:val="Normal"/>
        <w:keepNext w:val="true"/>
        <w:widowControl w:val="false"/>
        <w:pBdr/>
        <w:ind w:firstLine="709"/>
        <w:rPr>
          <w:lang w:val="ru-RU" w:eastAsia="ru-RU"/>
        </w:rPr>
      </w:pPr>
      <w:r>
        <w:rPr>
          <w:lang w:val="ru-RU" w:eastAsia="ru-RU"/>
        </w:rPr>
        <w:t>Откроется карточка запущенного согласования, описание которой приводится в п.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REF _Ref90915813 \r \h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3.1</w:t>
      </w:r>
      <w:r>
        <w:rPr>
          <w:lang w:val="ru-RU" w:eastAsia="ru-RU"/>
        </w:rPr>
        <w:fldChar w:fldCharType="end"/>
      </w:r>
      <w:r>
        <w:rPr>
          <w:lang w:val="ru-RU" w:eastAsia="ru-RU"/>
        </w:rPr>
        <w:t>.</w:t>
      </w:r>
    </w:p>
    <w:p>
      <w:pPr>
        <w:pStyle w:val="Normal"/>
        <w:numPr>
          <w:ilvl w:val="0"/>
          <w:numId w:val="4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b/>
          <w:b/>
          <w:lang w:val="ru-RU"/>
        </w:rPr>
      </w:pPr>
      <w:r>
        <w:rPr>
          <w:rFonts w:eastAsia="Calibri" w:eastAsiaTheme="minorHAnsi"/>
          <w:b/>
          <w:lang w:val="ru-RU"/>
        </w:rPr>
        <w:t>Просмотр деталей согласования</w:t>
      </w:r>
    </w:p>
    <w:p>
      <w:pPr>
        <w:pStyle w:val="Normal"/>
        <w:widowControl w:val="false"/>
        <w:pBdr/>
        <w:ind w:firstLine="709"/>
        <w:jc w:val="both"/>
        <w:rPr>
          <w:rFonts w:eastAsia="Calibri" w:eastAsiaTheme="minorHAnsi"/>
          <w:b/>
          <w:b/>
          <w:lang w:val="ru-RU"/>
        </w:rPr>
      </w:pPr>
      <w:r>
        <w:rPr>
          <w:rFonts w:eastAsia="Calibri"/>
          <w:lang w:val="ru-RU"/>
        </w:rPr>
        <w:t>Для просмотра подробной информации по уже созданному согласованию необходимо в таблице согласований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_Ref59550245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3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 нажать на ссылку с номером согласования. Откроется карточка согласования.</w:t>
      </w:r>
    </w:p>
    <w:p>
      <w:pPr>
        <w:pStyle w:val="ListParagraph"/>
        <w:numPr>
          <w:ilvl w:val="0"/>
          <w:numId w:val="5"/>
        </w:numPr>
        <w:pBdr/>
        <w:spacing w:before="0" w:after="160"/>
        <w:contextualSpacing/>
        <w:jc w:val="both"/>
        <w:rPr>
          <w:rFonts w:eastAsia="Calibri" w:eastAsiaTheme="minorHAnsi"/>
          <w:b/>
          <w:b/>
          <w:vanish/>
          <w:lang w:val="ru-RU"/>
        </w:rPr>
      </w:pPr>
      <w:r>
        <w:rPr>
          <w:rFonts w:eastAsia="Calibri" w:eastAsiaTheme="minorHAnsi"/>
          <w:b/>
          <w:vanish/>
          <w:lang w:val="ru-RU"/>
        </w:rPr>
      </w:r>
      <w:bookmarkStart w:id="15" w:name="_Toc65762362"/>
      <w:bookmarkStart w:id="16" w:name="_Ref59557907"/>
      <w:bookmarkStart w:id="17" w:name="_Toc65762362"/>
      <w:bookmarkStart w:id="18" w:name="_Ref59557907"/>
    </w:p>
    <w:p>
      <w:pPr>
        <w:pStyle w:val="ListParagraph"/>
        <w:numPr>
          <w:ilvl w:val="0"/>
          <w:numId w:val="5"/>
        </w:numPr>
        <w:pBdr/>
        <w:spacing w:before="0" w:after="160"/>
        <w:contextualSpacing/>
        <w:jc w:val="both"/>
        <w:rPr>
          <w:rFonts w:eastAsia="Calibri" w:eastAsiaTheme="minorHAnsi"/>
          <w:b/>
          <w:b/>
          <w:vanish/>
          <w:lang w:val="ru-RU"/>
        </w:rPr>
      </w:pPr>
      <w:r>
        <w:rPr>
          <w:rFonts w:eastAsia="Calibri" w:eastAsiaTheme="minorHAnsi"/>
          <w:b/>
          <w:vanish/>
          <w:lang w:val="ru-RU"/>
        </w:rPr>
      </w:r>
    </w:p>
    <w:p>
      <w:pPr>
        <w:pStyle w:val="Normal"/>
        <w:numPr>
          <w:ilvl w:val="1"/>
          <w:numId w:val="5"/>
        </w:numPr>
        <w:pBdr/>
        <w:spacing w:before="0" w:after="160"/>
        <w:ind w:left="973" w:hanging="264"/>
        <w:contextualSpacing/>
        <w:jc w:val="both"/>
        <w:rPr>
          <w:rFonts w:eastAsia="Calibri" w:eastAsiaTheme="minorHAnsi"/>
          <w:b/>
          <w:b/>
          <w:lang w:val="ru-RU"/>
        </w:rPr>
      </w:pPr>
      <w:bookmarkStart w:id="19" w:name="_Toc65762362"/>
      <w:bookmarkStart w:id="20" w:name="_Ref59557907"/>
      <w:bookmarkStart w:id="21" w:name="_Ref90915813"/>
      <w:r>
        <w:rPr>
          <w:rFonts w:eastAsia="Calibri" w:eastAsiaTheme="minorHAnsi"/>
          <w:b/>
          <w:lang w:val="ru-RU"/>
        </w:rPr>
        <w:t>Карточка согласования</w:t>
      </w:r>
      <w:bookmarkEnd w:id="19"/>
      <w:bookmarkEnd w:id="20"/>
      <w:bookmarkEnd w:id="21"/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Карточка согласования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_Ref59556680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14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 состоит из: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/>
          <w:lang w:val="ru-RU"/>
        </w:rPr>
      </w:pPr>
      <w:r>
        <w:rPr>
          <w:rFonts w:eastAsia="Calibri" w:eastAsiaTheme="minorHAnsi"/>
          <w:lang w:val="ru-RU"/>
        </w:rPr>
        <w:t xml:space="preserve"> </w:t>
      </w:r>
      <w:r>
        <w:rPr>
          <w:rFonts w:eastAsia="Calibri" w:eastAsiaTheme="minorHAnsi"/>
          <w:lang w:val="ru-RU"/>
        </w:rPr>
        <w:t>шапки согласования, в которой отображаются поля:</w:t>
      </w:r>
    </w:p>
    <w:p>
      <w:pPr>
        <w:pStyle w:val="Normal"/>
        <w:numPr>
          <w:ilvl w:val="1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«Наименование» – наименование согласования;</w:t>
      </w:r>
    </w:p>
    <w:p>
      <w:pPr>
        <w:pStyle w:val="Normal"/>
        <w:numPr>
          <w:ilvl w:val="1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«Статус» –  текущий статус согласования;</w:t>
      </w:r>
    </w:p>
    <w:p>
      <w:pPr>
        <w:pStyle w:val="Normal"/>
        <w:numPr>
          <w:ilvl w:val="1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«Маршрут согласования» – наименование маршрута согласования;</w:t>
      </w:r>
    </w:p>
    <w:p>
      <w:pPr>
        <w:pStyle w:val="Normal"/>
        <w:numPr>
          <w:ilvl w:val="1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«Инициатор» – наименование организации, которая инициирует согласование;</w:t>
      </w:r>
    </w:p>
    <w:p>
      <w:pPr>
        <w:pStyle w:val="Normal"/>
        <w:numPr>
          <w:ilvl w:val="1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«Предмет согласования» – предмет согласования;</w:t>
      </w:r>
    </w:p>
    <w:p>
      <w:pPr>
        <w:pStyle w:val="Normal"/>
        <w:numPr>
          <w:ilvl w:val="1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 xml:space="preserve">«Повторное согласование» – ссылка на связанное повторное согласование (при наличии); </w:t>
      </w:r>
    </w:p>
    <w:p>
      <w:pPr>
        <w:pStyle w:val="Normal"/>
        <w:numPr>
          <w:ilvl w:val="1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 xml:space="preserve">«Предыдущее согласование» – ссылка на связанное предыдущее согласование (при наличии); 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 xml:space="preserve"> </w:t>
      </w:r>
      <w:r>
        <w:rPr>
          <w:rFonts w:eastAsia="Calibri" w:eastAsiaTheme="minorHAnsi"/>
          <w:lang w:val="ru-RU"/>
        </w:rPr>
        <w:t>вкладок:</w:t>
      </w:r>
    </w:p>
    <w:p>
      <w:pPr>
        <w:pStyle w:val="Normal"/>
        <w:numPr>
          <w:ilvl w:val="1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«Согласование» – на вкладке отображается маршрут согласования, включающий в себя таблицу решений по шагу согласования, описание которой приводится в п.</w:t>
      </w:r>
      <w:r>
        <w:rPr>
          <w:rFonts w:eastAsia="Calibri" w:eastAsiaTheme="minorHAnsi"/>
          <w:lang w:val="ru-RU"/>
        </w:rPr>
        <w:fldChar w:fldCharType="begin"/>
      </w:r>
      <w:r>
        <w:rPr>
          <w:rFonts w:eastAsia="Calibri"/>
          <w:lang w:val="ru-RU"/>
        </w:rPr>
        <w:instrText> REF _Ref59561202 \r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3.1.1</w:t>
      </w:r>
      <w:r>
        <w:rPr>
          <w:rFonts w:eastAsia="Calibri"/>
          <w:lang w:val="ru-RU"/>
        </w:rPr>
        <w:fldChar w:fldCharType="end"/>
      </w:r>
      <w:r>
        <w:rPr>
          <w:rFonts w:eastAsia="Calibri" w:eastAsiaTheme="minorHAnsi"/>
          <w:lang w:val="ru-RU"/>
        </w:rPr>
        <w:t>. При наличии в маршруте более одного шага согласования, таблица решений отображается для каждого из шага согласования.</w:t>
      </w:r>
    </w:p>
    <w:p>
      <w:pPr>
        <w:pStyle w:val="Normal"/>
        <w:numPr>
          <w:ilvl w:val="1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«Состав дела» – на вкладке отображается таблица с документами, которые связаны с проводимым согласованием (при их наличии) и кнопка «Сформировать опись» для создания печатной формы описи документов, которые связаны с проводимым согласованием. Для скачивания архива приложенных документов необходимо нажать на пиктограмму «</w:t>
      </w:r>
      <w:r>
        <w:rPr/>
        <w:drawing>
          <wp:inline distT="0" distB="0" distL="0" distR="0">
            <wp:extent cx="161925" cy="142875"/>
            <wp:effectExtent l="0" t="0" r="0" b="0"/>
            <wp:docPr id="24" name="Рисунок 1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7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210300" cy="3022600"/>
            <wp:effectExtent l="0" t="0" r="0" b="0"/>
            <wp:docPr id="25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22" w:name="_Ref59556680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14</w:t>
      </w:r>
      <w:r>
        <w:rPr>
          <w:lang w:val="ru-RU" w:eastAsia="ru-RU"/>
        </w:rPr>
        <w:fldChar w:fldCharType="end"/>
      </w:r>
      <w:bookmarkEnd w:id="22"/>
      <w:r>
        <w:rPr>
          <w:lang w:val="ru-RU" w:eastAsia="ru-RU"/>
        </w:rPr>
        <w:t xml:space="preserve"> – Карточка согласования</w:t>
      </w:r>
    </w:p>
    <w:p>
      <w:pPr>
        <w:pStyle w:val="Normal"/>
        <w:numPr>
          <w:ilvl w:val="2"/>
          <w:numId w:val="5"/>
        </w:numPr>
        <w:pBdr/>
        <w:spacing w:before="0" w:after="160"/>
        <w:ind w:left="0" w:firstLine="709"/>
        <w:contextualSpacing/>
        <w:rPr>
          <w:rFonts w:eastAsia="Calibri" w:eastAsiaTheme="minorHAnsi"/>
          <w:b/>
          <w:b/>
          <w:lang w:val="ru-RU"/>
        </w:rPr>
      </w:pPr>
      <w:bookmarkStart w:id="23" w:name="_Toc65762363"/>
      <w:bookmarkStart w:id="24" w:name="_Ref59561202"/>
      <w:r>
        <w:rPr>
          <w:rFonts w:eastAsia="Calibri" w:eastAsiaTheme="minorHAnsi"/>
          <w:b/>
          <w:lang w:val="ru-RU"/>
        </w:rPr>
        <w:t>Таблица решений по шагу согласования</w:t>
      </w:r>
      <w:bookmarkEnd w:id="23"/>
      <w:bookmarkEnd w:id="24"/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В зависимости от настроек маршрута согласования, каждое согласование может иметь один, либо более одного шага проведения согласования, со своими организациями-участниками. Движение созданного согласования по шагам осуществляется последовательно. Переход к следующему шагу осуществляется после принятия решений всеми организациями на предыдущем шаге.</w:t>
      </w:r>
    </w:p>
    <w:p>
      <w:pPr>
        <w:pStyle w:val="Normal"/>
        <w:widowControl w:val="false"/>
        <w:pBdr/>
        <w:ind w:firstLine="709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Таблица решений на шаге согласования имеет столбцы (</w:t>
      </w:r>
      <w:r>
        <w:rPr>
          <w:rFonts w:eastAsia="Calibri"/>
          <w:lang w:val="ru-RU"/>
        </w:rPr>
        <w:fldChar w:fldCharType="begin"/>
      </w:r>
      <w:r>
        <w:rPr>
          <w:rFonts w:eastAsia="Calibri"/>
          <w:lang w:val="ru-RU"/>
        </w:rPr>
        <w:instrText> REF _Ref59561267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рисунок 15</w:t>
      </w:r>
      <w:r>
        <w:rPr>
          <w:rFonts w:eastAsia="Calibri"/>
          <w:lang w:val="ru-RU"/>
        </w:rPr>
        <w:fldChar w:fldCharType="end"/>
      </w:r>
      <w:r>
        <w:rPr>
          <w:rFonts w:eastAsia="Calibri"/>
          <w:lang w:val="ru-RU"/>
        </w:rPr>
        <w:t>):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«Принять решение» –  для организации, которая должна принять решение по согласованию отображается пиктограмма «</w:t>
      </w:r>
      <w:r>
        <w:rPr/>
        <w:drawing>
          <wp:inline distT="0" distB="0" distL="0" distR="0">
            <wp:extent cx="159385" cy="151765"/>
            <wp:effectExtent l="0" t="0" r="0" b="0"/>
            <wp:docPr id="26" name="Рисунок 1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73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», в ином случае отображается пиктограмма « </w:t>
      </w:r>
      <w:r>
        <w:rPr/>
        <w:drawing>
          <wp:inline distT="0" distB="0" distL="0" distR="0">
            <wp:extent cx="127000" cy="123190"/>
            <wp:effectExtent l="0" t="0" r="0" b="0"/>
            <wp:docPr id="27" name="Рисунок 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 »;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«Статус» – решение организации по поступившему в ее адрес согласованию;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 xml:space="preserve">«Выполнить действие» – указывается ссылка на таблицу действий (п. </w:t>
      </w:r>
      <w:r>
        <w:rPr>
          <w:rFonts w:eastAsia="Calibri" w:eastAsiaTheme="minorHAnsi"/>
          <w:lang w:val="ru-RU"/>
        </w:rPr>
        <w:fldChar w:fldCharType="begin"/>
      </w:r>
      <w:r>
        <w:rPr>
          <w:rFonts w:eastAsia="Calibri"/>
          <w:lang w:val="ru-RU"/>
        </w:rPr>
        <w:instrText> REF _Ref81916919 \r \h </w:instrText>
      </w:r>
      <w:r>
        <w:rPr>
          <w:rFonts w:eastAsia="Calibri"/>
          <w:lang w:val="ru-RU"/>
        </w:rPr>
        <w:fldChar w:fldCharType="separate"/>
      </w:r>
      <w:r>
        <w:rPr>
          <w:rFonts w:eastAsia="Calibri"/>
          <w:lang w:val="ru-RU"/>
        </w:rPr>
        <w:t>3.1.2</w:t>
      </w:r>
      <w:r>
        <w:rPr>
          <w:rFonts w:eastAsia="Calibri"/>
          <w:lang w:val="ru-RU"/>
        </w:rPr>
        <w:fldChar w:fldCharType="end"/>
      </w:r>
      <w:r>
        <w:rPr>
          <w:rFonts w:eastAsia="Calibri" w:eastAsiaTheme="minorHAnsi"/>
          <w:lang w:val="ru-RU"/>
        </w:rPr>
        <w:t>), которые выполняет организация при принятии решения на шаге. В ссылке на таблицу действий организации указывается количество таких действий;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«Участник» – организация, которая является ответственной за принятие решения по согласованию, поступившему в ее адрес;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«Плановая дата начала» – плановая дата начала рассмотрения организацией поступивших документов;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«Плановая дата окончания» – плановая дата принятия решения ответственной организацией, рассчитывается в зависимости от плановой даты начала и срока согласования;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«Ожидаемая дата начала» – ожидаемая дата начала рассмотрения организацией поступивших документов, пересчитывается в зависимости от фактической даты завершения предыдущего шага;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«Ожидаемая дата окончания» – ожидаемая дата принятия решения ответственной организацией, рассчитывается в зависимости от ожидаемой даты начала (запуска) проведения согласования и срока согласования;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«Фактическая дата начала» – фактическая дата начала (запуска) проведения согласования;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«Фактическая дата окончания» – фактическая дата принятия решения ответственной организацией;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«Является обязательным согласованием» – отображается признак, показывающей, что принятие решения организацией обязательно;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«Является итоговым согласованием» – отображается признак, показывающей, что принятое решение организацией завершает проведение всего согласования;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«Исполнитель» – отображается ФИО пользователя, являющегося исполнителем принятого организацией решения по согласованию;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«Комментарий» – комментарий к принятому решению по согласованию;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«Результат согласования» – отображается ссылка на документы, которые были приложены к принятому организацией решению. Ссылка может иметь вид пиктограммы «</w:t>
      </w:r>
      <w:r>
        <w:rPr/>
        <w:drawing>
          <wp:inline distT="0" distB="0" distL="0" distR="0">
            <wp:extent cx="127635" cy="114300"/>
            <wp:effectExtent l="0" t="0" r="0" b="0"/>
            <wp:docPr id="28" name="Рисунок 1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9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», либо вид «</w:t>
      </w:r>
      <w:r>
        <w:rPr/>
        <w:drawing>
          <wp:inline distT="0" distB="0" distL="0" distR="0">
            <wp:extent cx="209550" cy="172720"/>
            <wp:effectExtent l="0" t="0" r="0" b="0"/>
            <wp:docPr id="29" name="Рисунок 1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98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 в зависимости от того, был ли приложен документ к результату согласования.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210300" cy="2186940"/>
            <wp:effectExtent l="0" t="0" r="0" b="0"/>
            <wp:docPr id="30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25" w:name="_Ref59561267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15</w:t>
      </w:r>
      <w:r>
        <w:rPr>
          <w:lang w:val="ru-RU" w:eastAsia="ru-RU"/>
        </w:rPr>
        <w:fldChar w:fldCharType="end"/>
      </w:r>
      <w:bookmarkEnd w:id="25"/>
      <w:r>
        <w:rPr>
          <w:lang w:val="ru-RU" w:eastAsia="ru-RU"/>
        </w:rPr>
        <w:t xml:space="preserve"> – Таблица решений по шагу согласования</w:t>
      </w:r>
    </w:p>
    <w:p>
      <w:pPr>
        <w:pStyle w:val="Normal"/>
        <w:numPr>
          <w:ilvl w:val="2"/>
          <w:numId w:val="5"/>
        </w:numPr>
        <w:pBdr/>
        <w:spacing w:before="0" w:after="160"/>
        <w:ind w:left="0" w:firstLine="709"/>
        <w:contextualSpacing/>
        <w:rPr>
          <w:rFonts w:eastAsia="Calibri" w:eastAsiaTheme="minorHAnsi"/>
          <w:b/>
          <w:b/>
          <w:lang w:val="ru-RU"/>
        </w:rPr>
      </w:pPr>
      <w:bookmarkStart w:id="26" w:name="_Ref81916919"/>
      <w:r>
        <w:rPr>
          <w:rFonts w:eastAsia="Calibri" w:eastAsiaTheme="minorHAnsi"/>
          <w:b/>
          <w:lang w:val="ru-RU"/>
        </w:rPr>
        <w:t>Таблица действий организации</w:t>
      </w:r>
      <w:bookmarkEnd w:id="26"/>
    </w:p>
    <w:p>
      <w:pPr>
        <w:pStyle w:val="Normal"/>
        <w:pBdr/>
        <w:spacing w:before="0" w:after="0"/>
        <w:ind w:firstLine="709"/>
        <w:contextualSpacing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Таблица действий организации отображает список действий, которые выполняет организация при принятии решения на шаге. Такие действия могут быть настроены в маршруте согласования как обязательные, либо необязательные. В верхней части таблицы действий отображается участник согласования, который выполняет действия на данном шаге (</w:t>
      </w:r>
      <w:r>
        <w:rPr>
          <w:rFonts w:eastAsia="Calibri"/>
          <w:lang w:val="ru-RU" w:eastAsia="ru-RU"/>
        </w:rPr>
        <w:fldChar w:fldCharType="begin"/>
      </w:r>
      <w:r>
        <w:rPr>
          <w:rFonts w:eastAsia="Calibri"/>
          <w:lang w:val="ru-RU" w:eastAsia="ru-RU"/>
        </w:rPr>
        <w:instrText> REF _Ref81917272 \h </w:instrText>
      </w:r>
      <w:r>
        <w:rPr>
          <w:rFonts w:eastAsia="Calibri"/>
          <w:lang w:val="ru-RU" w:eastAsia="ru-RU"/>
        </w:rPr>
        <w:fldChar w:fldCharType="separate"/>
      </w:r>
      <w:r>
        <w:rPr>
          <w:rFonts w:eastAsia="Calibri"/>
          <w:lang w:val="ru-RU" w:eastAsia="ru-RU"/>
        </w:rPr>
        <w:t>рисунок 16</w:t>
      </w:r>
      <w:r>
        <w:rPr>
          <w:rFonts w:eastAsia="Calibri"/>
          <w:lang w:val="ru-RU" w:eastAsia="ru-RU"/>
        </w:rPr>
        <w:fldChar w:fldCharType="end"/>
      </w:r>
      <w:r>
        <w:rPr>
          <w:rFonts w:eastAsia="Calibri"/>
          <w:lang w:val="ru-RU" w:eastAsia="ru-RU"/>
        </w:rPr>
        <w:t>). Таблица действий содержит столбцы: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«Статус» – информация о статусе (состоянии) выполнения действия. Статус может принимать значения «В работе» – действие ожидает выполнения и «Выполнено» – действие исполнено;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«Описание действия» – отображается описание выполняемого действия;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«Плановая дата окончания» – плановая дата выполнения действия ответственной организацией;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«Ожидаемая дата окончания» – ожидаемая дата окончания выполнения действия ответственной организацией, рассчитывается в зависимости от ожидаемой даты начала (запуска) проведения согласования;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«Фактическая дата окончания» – фактическая дата выполнения действия ответственной организацией;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«Является обязательным» – отображается признак обязательности выполнения действия организацией;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«Исполнитель» – отображается ФИО пользователя, выполнившего действие;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«Комментарий» – комментарий к выполненному действию;</w:t>
      </w:r>
    </w:p>
    <w:p>
      <w:pPr>
        <w:pStyle w:val="Normal"/>
        <w:numPr>
          <w:ilvl w:val="0"/>
          <w:numId w:val="6"/>
        </w:numPr>
        <w:pBdr/>
        <w:spacing w:before="0" w:after="160"/>
        <w:ind w:left="0" w:firstLine="709"/>
        <w:contextualSpacing/>
        <w:jc w:val="both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  <w:t>«Результат действия» – отображается ссылка на документы, которые были приложены при выполнении действия. Ссылка может иметь вид пиктограммы «</w:t>
      </w:r>
      <w:r>
        <w:rPr/>
        <w:drawing>
          <wp:inline distT="0" distB="0" distL="0" distR="0">
            <wp:extent cx="127635" cy="114300"/>
            <wp:effectExtent l="0" t="0" r="0" b="0"/>
            <wp:docPr id="31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», либо вид «</w:t>
      </w:r>
      <w:r>
        <w:rPr/>
        <w:drawing>
          <wp:inline distT="0" distB="0" distL="0" distR="0">
            <wp:extent cx="209550" cy="172720"/>
            <wp:effectExtent l="0" t="0" r="0" b="0"/>
            <wp:docPr id="32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 в зависимости от того, был или не был приложен документ при выполнении действия.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210300" cy="1762125"/>
            <wp:effectExtent l="0" t="0" r="0" b="0"/>
            <wp:docPr id="33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27" w:name="_Ref81917272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16</w:t>
      </w:r>
      <w:r>
        <w:rPr>
          <w:lang w:val="ru-RU" w:eastAsia="ru-RU"/>
        </w:rPr>
        <w:fldChar w:fldCharType="end"/>
      </w:r>
      <w:bookmarkEnd w:id="27"/>
      <w:r>
        <w:rPr>
          <w:lang w:val="ru-RU" w:eastAsia="ru-RU"/>
        </w:rPr>
        <w:t xml:space="preserve"> – Таблица действий организации</w:t>
      </w:r>
    </w:p>
    <w:p>
      <w:pPr>
        <w:pStyle w:val="Normal"/>
        <w:numPr>
          <w:ilvl w:val="2"/>
          <w:numId w:val="5"/>
        </w:numPr>
        <w:pBdr/>
        <w:spacing w:before="0" w:after="0"/>
        <w:ind w:left="0" w:firstLine="709"/>
        <w:contextualSpacing/>
        <w:rPr>
          <w:rFonts w:eastAsia="Calibri" w:eastAsiaTheme="minorHAnsi"/>
          <w:b/>
          <w:b/>
          <w:lang w:val="ru-RU"/>
        </w:rPr>
      </w:pPr>
      <w:r>
        <w:rPr>
          <w:rFonts w:eastAsia="Calibri" w:eastAsiaTheme="minorHAnsi"/>
          <w:b/>
          <w:lang w:val="ru-RU"/>
        </w:rPr>
        <w:t>Просмотр документов по согласованию</w:t>
      </w:r>
    </w:p>
    <w:p>
      <w:pPr>
        <w:pStyle w:val="Style18"/>
        <w:ind w:firstLine="709"/>
        <w:rPr/>
      </w:pPr>
      <w:r>
        <w:rPr/>
        <w:t>Для просмотра и выгрузки документов, которые связаны с проведением согласования (в том числе документов, полученных по итогам проведенного согласования), необходимо выполнить следующие действия:</w:t>
      </w:r>
    </w:p>
    <w:p>
      <w:pPr>
        <w:pStyle w:val="Normal"/>
        <w:numPr>
          <w:ilvl w:val="0"/>
          <w:numId w:val="7"/>
        </w:numPr>
        <w:pBdr/>
        <w:spacing w:before="0" w:after="160"/>
        <w:ind w:left="0" w:firstLine="709"/>
        <w:contextualSpacing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находясь в личном кабинете ЕССК перейти в раздел меню «Согласования» (</w:t>
      </w:r>
      <w:r>
        <w:rPr>
          <w:rFonts w:eastAsia="Calibri"/>
          <w:lang w:val="ru-RU" w:eastAsia="ru-RU"/>
        </w:rPr>
        <w:fldChar w:fldCharType="begin"/>
      </w:r>
      <w:r>
        <w:rPr>
          <w:rFonts w:eastAsia="Calibri"/>
          <w:lang w:val="ru-RU" w:eastAsia="ru-RU"/>
        </w:rPr>
        <w:instrText> REF _Ref59550245 \h </w:instrText>
      </w:r>
      <w:r>
        <w:rPr>
          <w:rFonts w:eastAsia="Calibri"/>
          <w:lang w:val="ru-RU" w:eastAsia="ru-RU"/>
        </w:rPr>
        <w:fldChar w:fldCharType="separate"/>
      </w:r>
      <w:r>
        <w:rPr>
          <w:rFonts w:eastAsia="Calibri"/>
          <w:lang w:val="ru-RU" w:eastAsia="ru-RU"/>
        </w:rPr>
        <w:t>рисунок 3</w:t>
      </w:r>
      <w:r>
        <w:rPr>
          <w:rFonts w:eastAsia="Calibri"/>
          <w:lang w:val="ru-RU" w:eastAsia="ru-RU"/>
        </w:rPr>
        <w:fldChar w:fldCharType="end"/>
      </w:r>
      <w:r>
        <w:rPr>
          <w:rFonts w:eastAsia="Calibri"/>
          <w:lang w:val="ru-RU" w:eastAsia="ru-RU"/>
        </w:rPr>
        <w:t>);</w:t>
      </w:r>
    </w:p>
    <w:p>
      <w:pPr>
        <w:pStyle w:val="Normal"/>
        <w:numPr>
          <w:ilvl w:val="0"/>
          <w:numId w:val="7"/>
        </w:numPr>
        <w:pBdr/>
        <w:spacing w:before="0" w:after="160"/>
        <w:ind w:left="0" w:firstLine="709"/>
        <w:contextualSpacing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в таблице согласований нажать на номер интересующего согласования;</w:t>
      </w:r>
    </w:p>
    <w:p>
      <w:pPr>
        <w:pStyle w:val="Normal"/>
        <w:numPr>
          <w:ilvl w:val="0"/>
          <w:numId w:val="7"/>
        </w:numPr>
        <w:pBdr/>
        <w:spacing w:before="0" w:after="160"/>
        <w:ind w:left="0" w:firstLine="709"/>
        <w:contextualSpacing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в открывшейся карточке согласования перейти во вкладку «Состав дела» (</w:t>
      </w:r>
      <w:r>
        <w:rPr>
          <w:rFonts w:eastAsia="Calibri"/>
          <w:lang w:val="ru-RU" w:eastAsia="ru-RU"/>
        </w:rPr>
        <w:fldChar w:fldCharType="begin"/>
      </w:r>
      <w:r>
        <w:rPr>
          <w:rFonts w:eastAsia="Calibri"/>
          <w:lang w:val="ru-RU" w:eastAsia="ru-RU"/>
        </w:rPr>
        <w:instrText> REF _Ref69905194 \h </w:instrText>
      </w:r>
      <w:r>
        <w:rPr>
          <w:rFonts w:eastAsia="Calibri"/>
          <w:lang w:val="ru-RU" w:eastAsia="ru-RU"/>
        </w:rPr>
        <w:fldChar w:fldCharType="separate"/>
      </w:r>
      <w:r>
        <w:rPr>
          <w:rFonts w:eastAsia="Calibri"/>
          <w:lang w:val="ru-RU" w:eastAsia="ru-RU"/>
        </w:rPr>
        <w:t>рисунок 17</w:t>
      </w:r>
      <w:r>
        <w:rPr>
          <w:rFonts w:eastAsia="Calibri"/>
          <w:lang w:val="ru-RU" w:eastAsia="ru-RU"/>
        </w:rPr>
        <w:fldChar w:fldCharType="end"/>
      </w:r>
      <w:r>
        <w:rPr>
          <w:rFonts w:eastAsia="Calibri"/>
          <w:lang w:val="ru-RU" w:eastAsia="ru-RU"/>
        </w:rPr>
        <w:t>), в которой отобразится таблица со списком документов, которые связаны с проводимым согласованием;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210300" cy="5038090"/>
            <wp:effectExtent l="0" t="0" r="0" b="0"/>
            <wp:docPr id="34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28" w:name="_Ref69905194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17</w:t>
      </w:r>
      <w:r>
        <w:rPr>
          <w:lang w:val="ru-RU" w:eastAsia="ru-RU"/>
        </w:rPr>
        <w:fldChar w:fldCharType="end"/>
      </w:r>
      <w:bookmarkEnd w:id="28"/>
      <w:r>
        <w:rPr>
          <w:lang w:val="ru-RU" w:eastAsia="ru-RU"/>
        </w:rPr>
        <w:t xml:space="preserve"> – Вкладка «Состав дела»</w:t>
      </w:r>
    </w:p>
    <w:p>
      <w:pPr>
        <w:pStyle w:val="Normal"/>
        <w:numPr>
          <w:ilvl w:val="0"/>
          <w:numId w:val="7"/>
        </w:numPr>
        <w:pBdr/>
        <w:spacing w:before="0" w:after="160"/>
        <w:ind w:left="0" w:firstLine="709"/>
        <w:contextualSpacing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для просмотра и скачивания интересуемого документа следует нажать на его наименование;</w:t>
      </w:r>
    </w:p>
    <w:p>
      <w:pPr>
        <w:pStyle w:val="Normal"/>
        <w:numPr>
          <w:ilvl w:val="0"/>
          <w:numId w:val="7"/>
        </w:numPr>
        <w:pBdr/>
        <w:spacing w:before="0" w:after="160"/>
        <w:ind w:left="0" w:firstLine="709"/>
        <w:contextualSpacing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для просмотра, либо скачивания электронной подписи, которой был подписан документ необходимо нажать на пиктограмму « </w:t>
      </w:r>
      <w:r>
        <w:rPr/>
        <w:drawing>
          <wp:inline distT="0" distB="0" distL="0" distR="0">
            <wp:extent cx="195580" cy="179070"/>
            <wp:effectExtent l="0" t="0" r="0" b="0"/>
            <wp:docPr id="35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lang w:val="ru-RU" w:eastAsia="ru-RU"/>
        </w:rPr>
        <w:t xml:space="preserve">»; </w:t>
      </w:r>
    </w:p>
    <w:p>
      <w:pPr>
        <w:pStyle w:val="Normal"/>
        <w:numPr>
          <w:ilvl w:val="0"/>
          <w:numId w:val="7"/>
        </w:numPr>
        <w:pBdr/>
        <w:spacing w:before="0" w:after="160"/>
        <w:ind w:left="0" w:firstLine="709"/>
        <w:contextualSpacing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>для создания печатной формы описи документов (</w:t>
      </w:r>
      <w:r>
        <w:rPr>
          <w:rFonts w:eastAsia="Calibri"/>
          <w:lang w:val="ru-RU" w:eastAsia="ru-RU"/>
        </w:rPr>
        <w:fldChar w:fldCharType="begin"/>
      </w:r>
      <w:r>
        <w:rPr>
          <w:rFonts w:eastAsia="Calibri"/>
          <w:lang w:val="ru-RU" w:eastAsia="ru-RU"/>
        </w:rPr>
        <w:instrText> REF _Ref81820715 \h </w:instrText>
      </w:r>
      <w:r>
        <w:rPr>
          <w:rFonts w:eastAsia="Calibri"/>
          <w:lang w:val="ru-RU" w:eastAsia="ru-RU"/>
        </w:rPr>
        <w:fldChar w:fldCharType="separate"/>
      </w:r>
      <w:r>
        <w:rPr>
          <w:rFonts w:eastAsia="Calibri"/>
          <w:lang w:val="ru-RU" w:eastAsia="ru-RU"/>
        </w:rPr>
        <w:t>рисунок 18</w:t>
      </w:r>
      <w:r>
        <w:rPr>
          <w:rFonts w:eastAsia="Calibri"/>
          <w:lang w:val="ru-RU" w:eastAsia="ru-RU"/>
        </w:rPr>
        <w:fldChar w:fldCharType="end"/>
      </w:r>
      <w:r>
        <w:rPr>
          <w:rFonts w:eastAsia="Calibri"/>
          <w:lang w:val="ru-RU" w:eastAsia="ru-RU"/>
        </w:rPr>
        <w:t xml:space="preserve">), которые связаны с проводимым согласованием следует нажать на кнопку </w:t>
      </w:r>
      <w:r>
        <w:rPr>
          <w:rFonts w:eastAsia="Calibri" w:eastAsiaTheme="minorHAnsi"/>
          <w:lang w:val="ru-RU"/>
        </w:rPr>
        <w:t>«Сформировать опись»;</w:t>
      </w:r>
    </w:p>
    <w:p>
      <w:pPr>
        <w:pStyle w:val="Normal"/>
        <w:numPr>
          <w:ilvl w:val="0"/>
          <w:numId w:val="7"/>
        </w:numPr>
        <w:pBdr/>
        <w:spacing w:before="0" w:after="160"/>
        <w:ind w:left="0" w:firstLine="709"/>
        <w:contextualSpacing/>
        <w:rPr>
          <w:rFonts w:eastAsia="Calibri"/>
          <w:lang w:val="ru-RU" w:eastAsia="ru-RU"/>
        </w:rPr>
      </w:pPr>
      <w:r>
        <w:rPr>
          <w:rFonts w:eastAsia="Calibri" w:eastAsiaTheme="minorHAnsi"/>
          <w:lang w:val="ru-RU"/>
        </w:rPr>
        <w:t>для скачивания всех приложенных к согласованию документов в виде архива необходимо нажать на пиктограмму    «</w:t>
      </w:r>
      <w:r>
        <w:rPr/>
        <w:drawing>
          <wp:inline distT="0" distB="0" distL="0" distR="0">
            <wp:extent cx="161925" cy="142875"/>
            <wp:effectExtent l="0" t="0" r="0" b="0"/>
            <wp:docPr id="36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eastAsiaTheme="minorHAnsi"/>
          <w:lang w:val="ru-RU"/>
        </w:rPr>
        <w:t>».</w:t>
      </w:r>
    </w:p>
    <w:p>
      <w:pPr>
        <w:pStyle w:val="Normal"/>
        <w:pBdr/>
        <w:spacing w:before="0" w:after="120"/>
        <w:ind w:firstLine="709"/>
        <w:jc w:val="center"/>
        <w:rPr>
          <w:rFonts w:eastAsia="Calibri"/>
          <w:bCs/>
          <w:lang w:val="ru-RU" w:eastAsia="ru-RU"/>
        </w:rPr>
      </w:pPr>
      <w:r>
        <w:rPr>
          <w:rFonts w:eastAsia="Calibri"/>
          <w:bCs/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/>
        <w:drawing>
          <wp:inline distT="0" distB="0" distL="0" distR="0">
            <wp:extent cx="6210300" cy="4233545"/>
            <wp:effectExtent l="0" t="0" r="0" b="0"/>
            <wp:docPr id="3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bookmarkStart w:id="29" w:name="_Ref81820715"/>
      <w:r>
        <w:rPr>
          <w:lang w:val="ru-RU" w:eastAsia="ru-RU"/>
        </w:rPr>
        <w:t xml:space="preserve">Рисунок </w:t>
      </w:r>
      <w:r>
        <w:rPr>
          <w:lang w:val="ru-RU" w:eastAsia="ru-RU"/>
        </w:rPr>
        <w:fldChar w:fldCharType="begin"/>
      </w:r>
      <w:r>
        <w:rPr>
          <w:lang w:val="ru-RU" w:eastAsia="ru-RU"/>
        </w:rPr>
        <w:instrText> SEQ Рисунок \* ARABIC </w:instrText>
      </w:r>
      <w:r>
        <w:rPr>
          <w:lang w:val="ru-RU" w:eastAsia="ru-RU"/>
        </w:rPr>
        <w:fldChar w:fldCharType="separate"/>
      </w:r>
      <w:r>
        <w:rPr>
          <w:lang w:val="ru-RU" w:eastAsia="ru-RU"/>
        </w:rPr>
        <w:t>18</w:t>
      </w:r>
      <w:r>
        <w:rPr>
          <w:lang w:val="ru-RU" w:eastAsia="ru-RU"/>
        </w:rPr>
        <w:fldChar w:fldCharType="end"/>
      </w:r>
      <w:bookmarkEnd w:id="29"/>
      <w:r>
        <w:rPr>
          <w:lang w:val="ru-RU" w:eastAsia="ru-RU"/>
        </w:rPr>
        <w:t xml:space="preserve"> – Опись документов по согласованию</w:t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keepNext w:val="true"/>
        <w:widowControl w:val="false"/>
        <w:pBdr/>
        <w:jc w:val="center"/>
        <w:rPr>
          <w:lang w:val="ru-RU" w:eastAsia="ru-RU"/>
        </w:rPr>
      </w:pPr>
      <w:r>
        <w:rPr>
          <w:lang w:val="ru-RU" w:eastAsia="ru-RU"/>
        </w:rPr>
      </w:r>
    </w:p>
    <w:p>
      <w:pPr>
        <w:pStyle w:val="3"/>
        <w:rPr/>
      </w:pPr>
      <w:r>
        <w:rPr/>
        <w:t>Приложение № 2</w:t>
      </w:r>
    </w:p>
    <w:p>
      <w:pPr>
        <w:pStyle w:val="Normal"/>
        <w:keepNext w:val="true"/>
        <w:widowControl w:val="false"/>
        <w:pBdr/>
        <w:jc w:val="right"/>
        <w:rPr>
          <w:b/>
          <w:b/>
          <w:lang w:val="ru-RU" w:eastAsia="ru-RU"/>
        </w:rPr>
      </w:pPr>
      <w:r>
        <w:rPr>
          <w:b/>
          <w:lang w:val="ru-RU" w:eastAsia="ru-RU"/>
        </w:rPr>
      </w:r>
    </w:p>
    <w:p>
      <w:pPr>
        <w:pStyle w:val="1"/>
        <w:widowControl w:val="false"/>
        <w:spacing w:before="0" w:after="0"/>
        <w:rPr>
          <w:rFonts w:eastAsia="Arial Unicode MS"/>
          <w:lang w:eastAsia="ru-RU"/>
        </w:rPr>
      </w:pPr>
      <w:r>
        <w:rPr>
          <w:rFonts w:eastAsia="Arial Unicode MS"/>
          <w:lang w:eastAsia="ru-RU"/>
        </w:rPr>
        <w:t>Инструкция по получению учетной записи в ЕССК</w:t>
      </w:r>
    </w:p>
    <w:p>
      <w:pPr>
        <w:pStyle w:val="Normal"/>
        <w:keepNext w:val="true"/>
        <w:widowControl w:val="false"/>
        <w:pBdr/>
        <w:jc w:val="center"/>
        <w:rPr>
          <w:b/>
          <w:b/>
          <w:lang w:val="ru-RU" w:eastAsia="ru-RU"/>
        </w:rPr>
      </w:pPr>
      <w:r>
        <w:rPr>
          <w:b/>
          <w:lang w:val="ru-RU" w:eastAsia="ru-RU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получения учетной записи в ЕССК необходимо:</w:t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Направить официальный запрос о предоставлении доступа к ресурсам ЕССК в Комитет по связи и информатизации по форме, указанной в приложении.</w:t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 К официальному запросу необходимо приложить заполненную форму заявки, содержащую сведения о сотрудниках, которым предоставляется доступ, а также необходимые права доступа. Необходимые права требуется указать в столбце «Необходимые права для работы в системе» формы заявки в точном соответствии с их наименованием из перечня прав, приведенного на второй странице формы заявки. Пример заполнения заявки с указанием необходимых прав для инициирования (создания нового согласования) и участия (принятия решения по поступившему согласованию) в согласованиях приведен на последней странице приложения. </w:t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Скан официального запроса и форму заявки в электронном виде (в формате doc, либо docx) необходимо направить на адрес электронной почты Службы технической поддержки ЕССК: essk@sspk.spb.ru.</w:t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После создания учетных записей логины и пароли будут высланы на адреса электронной почты сотрудников, указанных в форме заявки.</w:t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pBdr/>
        <w:spacing w:lineRule="auto" w:line="259" w:before="0" w:after="160"/>
        <w:rPr>
          <w:rFonts w:eastAsia="Calibri" w:eastAsiaTheme="minorHAnsi"/>
          <w:lang w:val="ru-RU"/>
        </w:rPr>
      </w:pPr>
      <w:r>
        <w:rPr>
          <w:rFonts w:eastAsia="Calibri" w:eastAsiaTheme="minorHAnsi"/>
          <w:lang w:val="ru-RU"/>
        </w:rPr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  <mc:AlternateContent>
          <mc:Choice Requires="wps">
            <w:drawing>
              <wp:anchor behindDoc="0" distT="0" distB="0" distL="0" distR="0" simplePos="0" locked="0" layoutInCell="0" allowOverlap="1" relativeHeight="39" wp14:anchorId="20098024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2517140" cy="1355090"/>
                <wp:effectExtent l="0" t="0" r="0" b="0"/>
                <wp:wrapNone/>
                <wp:docPr id="38" name="Text Box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400" cy="135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rPr>
                                <w:b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Председателю Комитета </w:t>
                              <w:br/>
                              <w:t>по информатизации и связи</w:t>
                            </w:r>
                          </w:p>
                          <w:p>
                            <w:pPr>
                              <w:pStyle w:val="Style19"/>
                              <w:rPr>
                                <w:b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r>
                          </w:p>
                          <w:p>
                            <w:pPr>
                              <w:pStyle w:val="Style19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Ю.Л. Смирновой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4" path="m0,0l-2147483645,0l-2147483645,-2147483646l0,-2147483646xe" fillcolor="white" stroked="f" o:allowincell="f" style="position:absolute;margin-left:283.75pt;margin-top:0.2pt;width:198.1pt;height:106.6pt;mso-wrap-style:square;v-text-anchor:top;mso-position-horizontal:right;mso-position-horizontal-relative:margin" wp14:anchorId="20098024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9"/>
                        <w:rPr>
                          <w:b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Председателю Комитета </w:t>
                        <w:br/>
                        <w:t>по информатизации и связи</w:t>
                      </w:r>
                    </w:p>
                    <w:p>
                      <w:pPr>
                        <w:pStyle w:val="Style19"/>
                        <w:rPr>
                          <w:b/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</w:r>
                    </w:p>
                    <w:p>
                      <w:pPr>
                        <w:pStyle w:val="Style19"/>
                        <w:rPr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Ю.Л. Смирновой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41" wp14:anchorId="40EB7FBB">
                <wp:simplePos x="0" y="0"/>
                <wp:positionH relativeFrom="column">
                  <wp:posOffset>-213360</wp:posOffset>
                </wp:positionH>
                <wp:positionV relativeFrom="paragraph">
                  <wp:posOffset>71120</wp:posOffset>
                </wp:positionV>
                <wp:extent cx="2581275" cy="1287145"/>
                <wp:effectExtent l="0" t="0" r="0" b="0"/>
                <wp:wrapSquare wrapText="bothSides"/>
                <wp:docPr id="40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480" cy="128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&lt;Оформляется на официальном бланке&gt;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fillcolor="white" stroked="f" o:allowincell="f" style="position:absolute;margin-left:-16.8pt;margin-top:5.6pt;width:203.15pt;height:101.25pt;mso-wrap-style:square;v-text-anchor:top" wp14:anchorId="40EB7FBB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&lt;Оформляется на официальном бланке&gt;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</w:r>
    </w:p>
    <w:p>
      <w:pPr>
        <w:pStyle w:val="Normal"/>
        <w:pBdr/>
        <w:ind w:left="6663" w:hanging="0"/>
        <w:rPr>
          <w:rFonts w:eastAsia="Times New Roman"/>
          <w:b/>
          <w:b/>
          <w:sz w:val="26"/>
          <w:szCs w:val="20"/>
          <w:lang w:val="ru-RU" w:eastAsia="ru-RU"/>
        </w:rPr>
      </w:pPr>
      <w:r>
        <w:rPr>
          <w:rFonts w:eastAsia="Times New Roman"/>
          <w:b/>
          <w:sz w:val="26"/>
          <w:szCs w:val="20"/>
          <w:lang w:val="ru-RU" w:eastAsia="ru-RU"/>
        </w:rPr>
      </w:r>
    </w:p>
    <w:p>
      <w:pPr>
        <w:pStyle w:val="Normal"/>
        <w:pBdr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</w:r>
    </w:p>
    <w:p>
      <w:pPr>
        <w:pStyle w:val="Normal"/>
        <w:pBdr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lang w:val="ru-RU" w:eastAsia="ru-RU"/>
        </w:rPr>
      </w:pPr>
      <w:r>
        <w:rPr>
          <w:rFonts w:eastAsia="Times New Roman"/>
          <w:b/>
          <w:lang w:val="ru-RU" w:eastAsia="ru-RU"/>
        </w:rPr>
      </w:r>
    </w:p>
    <w:p>
      <w:pPr>
        <w:pStyle w:val="Normal"/>
        <w:pBdr/>
        <w:spacing w:lineRule="auto" w:line="360"/>
        <w:jc w:val="center"/>
        <w:rPr>
          <w:rFonts w:eastAsia="Times New Roman"/>
          <w:b/>
          <w:b/>
          <w:sz w:val="28"/>
          <w:szCs w:val="28"/>
          <w:lang w:val="ru-RU" w:eastAsia="ru-RU"/>
        </w:rPr>
      </w:pPr>
      <w:r>
        <w:rPr>
          <w:rFonts w:eastAsia="Times New Roman"/>
          <w:b/>
          <w:sz w:val="28"/>
          <w:szCs w:val="28"/>
          <w:lang w:val="ru-RU" w:eastAsia="ru-RU"/>
        </w:rPr>
        <w:t>Уважаемая Юлия Леонидовна!</w:t>
      </w:r>
    </w:p>
    <w:p>
      <w:pPr>
        <w:pStyle w:val="Normal"/>
        <w:pBdr/>
        <w:jc w:val="center"/>
        <w:rPr>
          <w:rFonts w:eastAsia="Times New Roman"/>
          <w:b/>
          <w:b/>
          <w:sz w:val="28"/>
          <w:szCs w:val="28"/>
          <w:lang w:val="ru-RU" w:eastAsia="ru-RU"/>
        </w:rPr>
      </w:pPr>
      <w:r>
        <w:rPr>
          <w:rFonts w:eastAsia="Times New Roman"/>
          <w:b/>
          <w:sz w:val="28"/>
          <w:szCs w:val="28"/>
          <w:lang w:val="ru-RU" w:eastAsia="ru-RU"/>
        </w:rPr>
      </w:r>
    </w:p>
    <w:p>
      <w:pPr>
        <w:pStyle w:val="Normal"/>
        <w:pBdr/>
        <w:ind w:firstLine="709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Прошу Вас рассмотреть возможность предоставления доступа сотрудников </w:t>
      </w:r>
      <w:r>
        <w:rPr>
          <w:rFonts w:eastAsia="Times New Roman"/>
          <w:b/>
          <w:sz w:val="28"/>
          <w:szCs w:val="28"/>
          <w:lang w:val="ru-RU" w:eastAsia="ru-RU"/>
        </w:rPr>
        <w:t>&lt;&lt;Полное наименование организации&gt;&gt;</w:t>
      </w:r>
      <w:r>
        <w:rPr>
          <w:rFonts w:eastAsia="Times New Roman"/>
          <w:sz w:val="28"/>
          <w:szCs w:val="28"/>
          <w:lang w:val="ru-RU" w:eastAsia="ru-RU"/>
        </w:rPr>
        <w:t xml:space="preserve"> к ресурсам государственной информационной системы Санкт-Петербурга «</w:t>
      </w:r>
      <w:r>
        <w:rPr>
          <w:rFonts w:eastAsia="Times New Roman"/>
          <w:color w:val="000000"/>
          <w:spacing w:val="1"/>
          <w:sz w:val="28"/>
          <w:szCs w:val="28"/>
          <w:lang w:val="ru-RU" w:eastAsia="ru-RU"/>
        </w:rPr>
        <w:t>Единая система строительного комплекса Санкт</w:t>
        <w:noBreakHyphen/>
        <w:t>Петербурга</w:t>
      </w:r>
      <w:r>
        <w:rPr>
          <w:rFonts w:eastAsia="Times New Roman"/>
          <w:sz w:val="28"/>
          <w:szCs w:val="28"/>
          <w:lang w:val="ru-RU" w:eastAsia="ru-RU"/>
        </w:rPr>
        <w:t xml:space="preserve">» в соответствии с заявкой. </w:t>
        <w:br/>
        <w:t xml:space="preserve">Заявку прилагаю. </w:t>
      </w:r>
    </w:p>
    <w:p>
      <w:pPr>
        <w:pStyle w:val="Normal"/>
        <w:pBdr/>
        <w:ind w:right="176"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</w:r>
    </w:p>
    <w:p>
      <w:pPr>
        <w:pStyle w:val="Normal"/>
        <w:pBdr/>
        <w:ind w:right="176" w:hanging="0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</w:r>
    </w:p>
    <w:p>
      <w:pPr>
        <w:pStyle w:val="Normal"/>
        <w:pBdr/>
        <w:ind w:right="176" w:hanging="0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>Приложение _</w:t>
      </w:r>
      <w:r>
        <w:rPr>
          <w:rFonts w:eastAsia="Times New Roman"/>
          <w:sz w:val="28"/>
          <w:szCs w:val="28"/>
          <w:lang w:eastAsia="ru-RU"/>
        </w:rPr>
        <w:t>_</w:t>
      </w:r>
      <w:r>
        <w:rPr>
          <w:rFonts w:eastAsia="Times New Roman"/>
          <w:sz w:val="28"/>
          <w:szCs w:val="28"/>
          <w:lang w:val="ru-RU" w:eastAsia="ru-RU"/>
        </w:rPr>
        <w:t xml:space="preserve"> л., </w:t>
      </w:r>
      <w:r>
        <w:rPr>
          <w:rFonts w:eastAsia="Times New Roman"/>
          <w:sz w:val="28"/>
          <w:szCs w:val="28"/>
          <w:lang w:eastAsia="ru-RU"/>
        </w:rPr>
        <w:t>__</w:t>
      </w:r>
      <w:r>
        <w:rPr>
          <w:rFonts w:eastAsia="Times New Roman"/>
          <w:sz w:val="28"/>
          <w:szCs w:val="28"/>
          <w:lang w:val="ru-RU" w:eastAsia="ru-RU"/>
        </w:rPr>
        <w:t xml:space="preserve"> экз.</w:t>
      </w:r>
    </w:p>
    <w:p>
      <w:pPr>
        <w:pStyle w:val="Normal"/>
        <w:pBdr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</w:r>
    </w:p>
    <w:p>
      <w:pPr>
        <w:pStyle w:val="Normal"/>
        <w:pBdr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</w:r>
    </w:p>
    <w:p>
      <w:pPr>
        <w:pStyle w:val="Normal"/>
        <w:pBdr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651"/>
        <w:gridCol w:w="5987"/>
      </w:tblGrid>
      <w:tr>
        <w:trPr>
          <w:trHeight w:val="80" w:hRule="atLeast"/>
        </w:trPr>
        <w:tc>
          <w:tcPr>
            <w:tcW w:w="3651" w:type="dxa"/>
            <w:tcBorders/>
            <w:shd w:color="auto" w:fill="auto" w:val="clear"/>
          </w:tcPr>
          <w:p>
            <w:pPr>
              <w:pStyle w:val="Normal"/>
              <w:widowControl w:val="false"/>
              <w:pBdr/>
              <w:jc w:val="both"/>
              <w:rPr>
                <w:rFonts w:eastAsia="Times New Roman"/>
                <w:b/>
                <w:b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val="ru-RU" w:eastAsia="ru-RU"/>
              </w:rPr>
              <w:t>Должность руководителя организации</w:t>
            </w:r>
          </w:p>
        </w:tc>
        <w:tc>
          <w:tcPr>
            <w:tcW w:w="5987" w:type="dxa"/>
            <w:tcBorders/>
            <w:shd w:color="auto" w:fill="auto" w:val="clear"/>
          </w:tcPr>
          <w:p>
            <w:pPr>
              <w:pStyle w:val="Normal"/>
              <w:widowControl w:val="false"/>
              <w:pBdr/>
              <w:jc w:val="right"/>
              <w:rPr>
                <w:rFonts w:eastAsia="Times New Roman"/>
                <w:b/>
                <w:b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val="ru-RU" w:eastAsia="ru-RU"/>
              </w:rPr>
              <w:t>ФИО</w:t>
            </w:r>
          </w:p>
        </w:tc>
      </w:tr>
    </w:tbl>
    <w:p>
      <w:pPr>
        <w:pStyle w:val="Normal"/>
        <w:pBdr/>
        <w:jc w:val="both"/>
        <w:rPr>
          <w:rFonts w:eastAsia="Times New Roman"/>
          <w:sz w:val="26"/>
          <w:szCs w:val="26"/>
          <w:lang w:val="ru-RU" w:eastAsia="ru-RU"/>
        </w:rPr>
      </w:pPr>
      <w:r>
        <w:rPr>
          <w:rFonts w:eastAsia="Times New Roman"/>
          <w:sz w:val="26"/>
          <w:szCs w:val="26"/>
          <w:lang w:val="ru-RU" w:eastAsia="ru-RU"/>
        </w:rPr>
      </w:r>
    </w:p>
    <w:p>
      <w:pPr>
        <w:pStyle w:val="Normal"/>
        <w:pBdr/>
        <w:jc w:val="both"/>
        <w:rPr>
          <w:rFonts w:eastAsia="Times New Roman"/>
          <w:sz w:val="26"/>
          <w:szCs w:val="26"/>
          <w:lang w:val="ru-RU" w:eastAsia="ru-RU"/>
        </w:rPr>
      </w:pPr>
      <w:r>
        <w:rPr>
          <w:rFonts w:eastAsia="Times New Roman"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b/>
          <w:b/>
          <w:sz w:val="26"/>
          <w:szCs w:val="26"/>
          <w:lang w:val="ru-RU" w:eastAsia="ru-RU"/>
        </w:rPr>
      </w:pPr>
      <w:r>
        <w:rPr>
          <w:rFonts w:eastAsia="Times New Roman"/>
          <w:b/>
          <w:sz w:val="26"/>
          <w:szCs w:val="26"/>
          <w:lang w:val="ru-RU" w:eastAsia="ru-RU"/>
        </w:rPr>
      </w:r>
    </w:p>
    <w:p>
      <w:pPr>
        <w:pStyle w:val="Normal"/>
        <w:pBdr/>
        <w:rPr>
          <w:rFonts w:eastAsia="Times New Roman"/>
          <w:sz w:val="20"/>
          <w:szCs w:val="20"/>
          <w:lang w:val="ru-RU" w:eastAsia="ru-RU"/>
        </w:rPr>
      </w:pPr>
      <w:r>
        <w:rPr>
          <w:rFonts w:eastAsia="Times New Roman"/>
          <w:sz w:val="20"/>
          <w:szCs w:val="20"/>
          <w:lang w:val="ru-RU" w:eastAsia="ru-RU"/>
        </w:rPr>
        <w:t>Исполнитель</w:t>
      </w:r>
    </w:p>
    <w:p>
      <w:pPr>
        <w:pStyle w:val="Normal"/>
        <w:pBdr/>
        <w:rPr>
          <w:rFonts w:eastAsia="Times New Roman"/>
          <w:sz w:val="20"/>
          <w:szCs w:val="20"/>
          <w:lang w:val="ru-RU" w:eastAsia="ru-RU"/>
        </w:rPr>
      </w:pPr>
      <w:r>
        <w:rPr>
          <w:rFonts w:eastAsia="Times New Roman"/>
          <w:sz w:val="20"/>
          <w:szCs w:val="20"/>
          <w:lang w:val="ru-RU" w:eastAsia="ru-RU"/>
        </w:rPr>
        <w:t>телефон</w:t>
      </w:r>
    </w:p>
    <w:p>
      <w:pPr>
        <w:sectPr>
          <w:type w:val="nextPage"/>
          <w:pgSz w:w="11906" w:h="16838"/>
          <w:pgMar w:left="1560" w:right="707" w:gutter="0" w:header="0" w:top="1134" w:footer="0" w:bottom="1134"/>
          <w:pgNumType w:fmt="decimal"/>
          <w:formProt w:val="false"/>
          <w:textDirection w:val="lrTb"/>
          <w:rtlGutter/>
          <w:docGrid w:type="default" w:linePitch="360" w:charSpace="0"/>
        </w:sectPr>
        <w:pStyle w:val="Normal"/>
        <w:pBdr/>
        <w:rPr>
          <w:rFonts w:eastAsia="Times New Roman"/>
          <w:sz w:val="20"/>
          <w:szCs w:val="20"/>
          <w:lang w:val="ru-RU" w:eastAsia="ru-RU"/>
        </w:rPr>
      </w:pPr>
      <w:r>
        <w:rPr>
          <w:rFonts w:eastAsia="Times New Roman"/>
          <w:sz w:val="20"/>
          <w:szCs w:val="20"/>
          <w:lang w:val="ru-RU" w:eastAsia="ru-RU"/>
        </w:rPr>
      </w:r>
    </w:p>
    <w:p>
      <w:pPr>
        <w:pStyle w:val="Normal"/>
        <w:pBdr/>
        <w:jc w:val="center"/>
        <w:rPr>
          <w:rFonts w:eastAsia="Times New Roman"/>
          <w:b/>
          <w:b/>
          <w:bCs/>
          <w:color w:val="000000"/>
          <w:lang w:val="ru-RU" w:eastAsia="ru-RU"/>
        </w:rPr>
      </w:pPr>
      <w:r>
        <w:rPr>
          <w:rFonts w:eastAsia="Times New Roman"/>
          <w:b/>
          <w:bCs/>
          <w:color w:val="000000"/>
          <w:lang w:val="ru-RU" w:eastAsia="ru-RU"/>
        </w:rPr>
        <w:t>Заявка на предоставление доступа к ЕССК</w:t>
      </w:r>
    </w:p>
    <w:p>
      <w:pPr>
        <w:pStyle w:val="Normal"/>
        <w:pBdr/>
        <w:jc w:val="center"/>
        <w:rPr>
          <w:rFonts w:eastAsia="Times New Roman"/>
          <w:b/>
          <w:b/>
          <w:bCs/>
          <w:color w:val="000000"/>
          <w:lang w:val="ru-RU" w:eastAsia="ru-RU"/>
        </w:rPr>
      </w:pPr>
      <w:r>
        <w:rPr>
          <w:rFonts w:eastAsia="Times New Roman"/>
          <w:b/>
          <w:bCs/>
          <w:color w:val="000000"/>
          <w:lang w:val="ru-RU" w:eastAsia="ru-RU"/>
        </w:rPr>
      </w:r>
    </w:p>
    <w:p>
      <w:pPr>
        <w:pStyle w:val="Normal"/>
        <w:pBdr/>
        <w:ind w:firstLine="225"/>
        <w:jc w:val="both"/>
        <w:rPr>
          <w:rFonts w:eastAsia="Times New Roman"/>
          <w:color w:val="000000"/>
          <w:sz w:val="20"/>
          <w:szCs w:val="20"/>
          <w:lang w:val="ru-RU" w:eastAsia="ru-RU"/>
        </w:rPr>
      </w:pPr>
      <w:r>
        <w:rPr>
          <w:rFonts w:eastAsia="Times New Roman"/>
          <w:color w:val="000000"/>
          <w:sz w:val="20"/>
          <w:szCs w:val="20"/>
          <w:lang w:val="ru-RU" w:eastAsia="ru-RU"/>
        </w:rPr>
      </w:r>
    </w:p>
    <w:tbl>
      <w:tblPr>
        <w:tblW w:w="14566" w:type="dxa"/>
        <w:jc w:val="left"/>
        <w:tblInd w:w="0" w:type="dxa"/>
        <w:tblLayout w:type="fixed"/>
        <w:tblCellMar>
          <w:top w:w="0" w:type="dxa"/>
          <w:left w:w="45" w:type="dxa"/>
          <w:bottom w:w="0" w:type="dxa"/>
          <w:right w:w="45" w:type="dxa"/>
        </w:tblCellMar>
        <w:tblLook w:val="0000" w:noHBand="0" w:noVBand="0" w:firstColumn="0" w:lastRow="0" w:lastColumn="0" w:firstRow="0"/>
      </w:tblPr>
      <w:tblGrid>
        <w:gridCol w:w="369"/>
        <w:gridCol w:w="1387"/>
        <w:gridCol w:w="919"/>
        <w:gridCol w:w="1150"/>
        <w:gridCol w:w="1701"/>
        <w:gridCol w:w="992"/>
        <w:gridCol w:w="849"/>
        <w:gridCol w:w="427"/>
        <w:gridCol w:w="2125"/>
        <w:gridCol w:w="2036"/>
        <w:gridCol w:w="2609"/>
      </w:tblGrid>
      <w:tr>
        <w:trPr>
          <w:trHeight w:val="3606" w:hRule="atLeast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 xml:space="preserve">№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 xml:space="preserve">п/п 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Организация,</w:t>
            </w:r>
          </w:p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Подразделение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 xml:space="preserve">Фамилия, имя, отчество </w:t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Должность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Необходимые права для работы в системе*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СНИЛС**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e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-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mail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**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тел.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Наименование информационного ресурса***</w:t>
            </w:r>
          </w:p>
        </w:tc>
        <w:tc>
          <w:tcPr>
            <w:tcW w:w="203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Режим работы</w:t>
              <w:br/>
            </w:r>
            <w:r>
              <w:rPr>
                <w:rFonts w:eastAsia="Times New Roman"/>
                <w:i/>
                <w:color w:val="000000"/>
                <w:sz w:val="20"/>
                <w:szCs w:val="20"/>
                <w:lang w:val="ru-RU" w:eastAsia="ru-RU"/>
              </w:rPr>
              <w:t>Предполагаемый период времени работы пользователя в автоматизированной системе или информационном ресурсе. (например с 9-00 до 18-00, пн-пт)****</w:t>
            </w:r>
          </w:p>
        </w:tc>
        <w:tc>
          <w:tcPr>
            <w:tcW w:w="26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 xml:space="preserve">Наименование </w:t>
            </w:r>
          </w:p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полномочия ИОГВ, при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исполнении которого необходим доступ к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 xml:space="preserve"> информационному ресурсу, а также наименование государственной услуги (процедуры), которую будет оказывать (исполнять) сотрудник</w:t>
            </w:r>
          </w:p>
        </w:tc>
      </w:tr>
      <w:tr>
        <w:trPr/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4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21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Государственная информационная система Санкт-Петербурга «Единая система строительного комплекса Санкт</w:t>
              <w:noBreakHyphen/>
              <w:t>Петербурга»</w:t>
            </w:r>
          </w:p>
        </w:tc>
        <w:tc>
          <w:tcPr>
            <w:tcW w:w="203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26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</w:tr>
      <w:tr>
        <w:trPr/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4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21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203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26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</w:tr>
      <w:tr>
        <w:trPr/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1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4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21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203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26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</w:tr>
      <w:tr>
        <w:trPr/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816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  <w:t>Итого установок для доступа:</w:t>
            </w:r>
          </w:p>
        </w:tc>
        <w:tc>
          <w:tcPr>
            <w:tcW w:w="2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  <w:tc>
          <w:tcPr>
            <w:tcW w:w="2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</w:tc>
      </w:tr>
    </w:tbl>
    <w:p>
      <w:pPr>
        <w:pStyle w:val="Normal"/>
        <w:pBdr/>
        <w:ind w:firstLine="225"/>
        <w:jc w:val="both"/>
        <w:rPr>
          <w:rFonts w:eastAsia="Times New Roman"/>
          <w:color w:val="000000"/>
          <w:lang w:val="ru-RU" w:eastAsia="ru-RU"/>
        </w:rPr>
      </w:pPr>
      <w:r>
        <w:rPr>
          <w:rFonts w:eastAsia="Times New Roman"/>
          <w:color w:val="000000"/>
          <w:lang w:val="ru-RU" w:eastAsia="ru-RU"/>
        </w:rPr>
      </w:r>
    </w:p>
    <w:p>
      <w:pPr>
        <w:pStyle w:val="Normal"/>
        <w:pBdr/>
        <w:jc w:val="both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</w:r>
    </w:p>
    <w:p>
      <w:pPr>
        <w:pStyle w:val="Normal"/>
        <w:pBdr/>
        <w:jc w:val="both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</w:r>
    </w:p>
    <w:tbl>
      <w:tblPr>
        <w:tblW w:w="1457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293"/>
        <w:gridCol w:w="7276"/>
      </w:tblGrid>
      <w:tr>
        <w:trPr/>
        <w:tc>
          <w:tcPr>
            <w:tcW w:w="7293" w:type="dxa"/>
            <w:tcBorders/>
            <w:shd w:color="auto" w:fill="auto" w:val="clear"/>
          </w:tcPr>
          <w:p>
            <w:pPr>
              <w:pStyle w:val="Normal"/>
              <w:widowControl w:val="false"/>
              <w:pBdr/>
              <w:jc w:val="both"/>
              <w:rPr>
                <w:rFonts w:eastAsia="Times New Roman"/>
                <w:b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>Должность руководителя организации</w:t>
            </w:r>
          </w:p>
        </w:tc>
        <w:tc>
          <w:tcPr>
            <w:tcW w:w="7276" w:type="dxa"/>
            <w:tcBorders/>
            <w:shd w:color="auto" w:fill="auto" w:val="clear"/>
          </w:tcPr>
          <w:p>
            <w:pPr>
              <w:pStyle w:val="Normal"/>
              <w:widowControl w:val="false"/>
              <w:pBdr/>
              <w:jc w:val="right"/>
              <w:rPr>
                <w:rFonts w:eastAsia="Times New Roman"/>
                <w:b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>ФИО</w:t>
            </w:r>
          </w:p>
        </w:tc>
      </w:tr>
      <w:tr>
        <w:trPr>
          <w:trHeight w:val="1887" w:hRule="atLeast"/>
        </w:trPr>
        <w:tc>
          <w:tcPr>
            <w:tcW w:w="1456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</w:r>
          </w:p>
          <w:p>
            <w:pPr>
              <w:pStyle w:val="Normal"/>
              <w:widowControl w:val="false"/>
              <w:pBdr/>
              <w:ind w:firstLine="604"/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 xml:space="preserve">* Для работы с государственными услугами (процедурами) в сфере строительства </w:t>
            </w:r>
            <w:r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  <w:t xml:space="preserve">в ЕССК предусмотрены личный кабинет «Исполнителя» и личный кабинет «Руководителя». </w:t>
              <w:br/>
              <w:t xml:space="preserve">В рамках личного кабинета «Исполнителя» доступны следующие права: </w:t>
            </w:r>
          </w:p>
          <w:p>
            <w:pPr>
              <w:pStyle w:val="Normal"/>
              <w:widowControl w:val="false"/>
              <w:pBdr/>
              <w:ind w:firstLine="604"/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  <w:t>1. регистрация заявлений;</w:t>
            </w:r>
          </w:p>
          <w:p>
            <w:pPr>
              <w:pStyle w:val="Normal"/>
              <w:widowControl w:val="false"/>
              <w:pBdr/>
              <w:ind w:firstLine="604"/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  <w:t>2. исполнение процедур;</w:t>
            </w:r>
          </w:p>
          <w:p>
            <w:pPr>
              <w:pStyle w:val="Normal"/>
              <w:widowControl w:val="false"/>
              <w:pBdr/>
              <w:ind w:firstLine="604"/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  <w:t>3. направление межведомственных запросов;</w:t>
            </w:r>
          </w:p>
          <w:p>
            <w:pPr>
              <w:pStyle w:val="Normal"/>
              <w:widowControl w:val="false"/>
              <w:pBdr/>
              <w:ind w:firstLine="604"/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  <w:t>4. направление ответов на межведомственные запросы;</w:t>
            </w:r>
          </w:p>
          <w:p>
            <w:pPr>
              <w:pStyle w:val="Normal"/>
              <w:widowControl w:val="false"/>
              <w:pBdr/>
              <w:ind w:firstLine="604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5. назначение исполнителя для запроса;</w:t>
            </w:r>
          </w:p>
          <w:p>
            <w:pPr>
              <w:pStyle w:val="Normal"/>
              <w:widowControl w:val="false"/>
              <w:pBdr/>
              <w:ind w:firstLine="604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6. назначение исполнителя для дела;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7. ведение реестра процедур (необходимы для редактирования информации о процедурах, которые оказываются/исполняются организацией, путём направления уведомлений Модератору ЕССК о необходимости внесения изменений по процедуре);</w:t>
            </w:r>
          </w:p>
          <w:p>
            <w:pPr>
              <w:pStyle w:val="BodyTextIndent2"/>
              <w:widowControl w:val="false"/>
              <w:jc w:val="both"/>
              <w:rPr>
                <w:rFonts w:eastAsia="Times New Roman"/>
                <w:sz w:val="20"/>
                <w:szCs w:val="20"/>
                <w:lang w:val="ru-RU" w:eastAsia="ru-RU"/>
              </w:rPr>
            </w:pPr>
            <w:r>
              <w:rPr/>
              <w:t>8. ведение реестра ОКС (необходимы для редактирования информации об объектах капитального строительства путём направления уведомлений Модератору ЕССК о необходимости внесения изменений в карточку объекта капитального строительства);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9. ведение реестра проектной документации повторного применения (необходимы для Исполнителя, который отвечает за проведение экспертизы проектной документации, чтобы иметь возможность делиться с Пользователями Системы типовой проектной документацией по различным видам ОКС, загружать о ней описание и выдавать доступ для скачивания тем Заявителям, которые запросили такую документацию).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10. создавать согласования (необходимы для Исполнителей, которые могут инициировать согласования);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11. участвовать в согласованиях (необходимы для Исполнителей, которые могут участвовать в проводимых согласованиях (принимать решения);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12. просматривать публичные согласования (необходимы для Исполнителей, которые могут просматривать публичные (общедоступные) согласования).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ru-RU" w:eastAsia="ru-RU"/>
              </w:rPr>
              <w:t xml:space="preserve">Доступ к личному кабинету «Руководителя» предоставляется сотрудникам исполнительных органов государственной власти с должностью не ниже начальника отдела и необходим для просмотра отчётов по исполнению процедур организации, просмотра ключевых показателей по исполнению в организации, настройки прав доступа сотрудникам организации, </w:t>
            </w:r>
            <w:r>
              <w:rPr>
                <w:rFonts w:eastAsia="Times New Roman"/>
                <w:sz w:val="22"/>
                <w:szCs w:val="22"/>
                <w:lang w:val="ru-RU" w:eastAsia="ru-RU"/>
              </w:rPr>
              <w:t>просмотра оценки Заявителями качества предоставления услуг и т.д.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 xml:space="preserve">** Указание СНИЛС и служебного адреса е-мейл необходимо для интеграции учетных записей пользователей с федеральной государственной информационной системой «Единая система идентификации и аутентификации» в соответствии с постановлением Правительства Российской Федерации от 10.07.2013 № 584 «Об использовании федеральной государственной информационной системы «Единая система идентификации и аутентификации в инфраструктуре, обеспечивающей информационно-технологическое взаимодействие информационных систем, используемых для предоставления государственных и муниципальных услуг в электронной форме». 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Служебный адрес е-мейл необходимо указывать уникальный для каждого сотрудника.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*** В случае неактивности сотрудника в ЕССК в течение 6 месяцев права доступа будут заблокированы автоматически. Для восстановления доступа необходимо повторно отправить заявку в Комитет по информатизации и связи. При изменении должности (увольнения), занимаемой сотрудником, прошу Вас уведомлять Комитет по информатизации и связи, в цел</w:t>
            </w:r>
            <w:bookmarkStart w:id="30" w:name="_GoBack"/>
            <w:bookmarkEnd w:id="30"/>
            <w:r>
              <w:rPr>
                <w:rFonts w:eastAsia="Times New Roman"/>
                <w:sz w:val="22"/>
                <w:szCs w:val="22"/>
                <w:lang w:val="ru-RU" w:eastAsia="ru-RU"/>
              </w:rPr>
              <w:t>ях корректировки данных учетной записи.</w:t>
            </w:r>
          </w:p>
          <w:p>
            <w:pPr>
              <w:pStyle w:val="Normal"/>
              <w:widowControl w:val="false"/>
              <w:pBdr/>
              <w:ind w:firstLine="604"/>
              <w:jc w:val="both"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  <w:t>**** Указание режима работы пользователя необходимо для планирования технических работ и обновлений, которые могут оказать влияние на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r>
              <w:rPr>
                <w:rFonts w:eastAsia="Times New Roman"/>
                <w:sz w:val="22"/>
                <w:szCs w:val="22"/>
                <w:lang w:val="ru-RU" w:eastAsia="ru-RU"/>
              </w:rPr>
              <w:t>стабильность работы системы.</w:t>
            </w:r>
          </w:p>
          <w:p>
            <w:pPr>
              <w:pStyle w:val="Normal"/>
              <w:widowControl w:val="false"/>
              <w:pBdr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</w:r>
          </w:p>
          <w:p>
            <w:pPr>
              <w:pStyle w:val="Normal"/>
              <w:widowControl w:val="false"/>
              <w:pBdr/>
              <w:rPr>
                <w:rFonts w:eastAsia="Times New Roman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sz w:val="22"/>
                <w:szCs w:val="22"/>
                <w:lang w:val="ru-RU" w:eastAsia="ru-RU"/>
              </w:rPr>
            </w:r>
          </w:p>
          <w:p>
            <w:pPr>
              <w:pStyle w:val="Normal"/>
              <w:widowControl w:val="false"/>
              <w:pBdr/>
              <w:jc w:val="center"/>
              <w:rPr>
                <w:rFonts w:eastAsia="Times New Roman"/>
                <w:b/>
                <w:b/>
                <w:bCs/>
                <w:color w:val="000000"/>
                <w:lang w:val="ru-RU" w:eastAsia="ru-RU"/>
              </w:rPr>
            </w:pPr>
            <w:r>
              <w:rPr>
                <w:rFonts w:eastAsia="Times New Roman"/>
                <w:b/>
                <w:bCs/>
                <w:color w:val="000000"/>
                <w:lang w:val="ru-RU" w:eastAsia="ru-RU"/>
              </w:rPr>
            </w:r>
          </w:p>
          <w:p>
            <w:pPr>
              <w:pStyle w:val="Normal"/>
              <w:widowControl w:val="false"/>
              <w:pBdr/>
              <w:jc w:val="center"/>
              <w:rPr>
                <w:rFonts w:eastAsia="Times New Roman"/>
                <w:b/>
                <w:b/>
                <w:bCs/>
                <w:color w:val="000000"/>
                <w:lang w:val="ru-RU" w:eastAsia="ru-RU"/>
              </w:rPr>
            </w:pPr>
            <w:r>
              <w:rPr>
                <w:rFonts w:eastAsia="Times New Roman"/>
                <w:b/>
                <w:bCs/>
                <w:color w:val="000000"/>
                <w:lang w:val="ru-RU" w:eastAsia="ru-RU"/>
              </w:rPr>
              <w:t>Заявка на предоставление доступа к ЕССК</w:t>
            </w:r>
          </w:p>
          <w:p>
            <w:pPr>
              <w:pStyle w:val="Normal"/>
              <w:widowControl w:val="false"/>
              <w:pBdr/>
              <w:jc w:val="center"/>
              <w:rPr>
                <w:rFonts w:eastAsia="Times New Roman"/>
                <w:bCs/>
                <w:i/>
                <w:i/>
                <w:color w:val="000000"/>
                <w:lang w:val="ru-RU" w:eastAsia="ru-RU"/>
              </w:rPr>
            </w:pPr>
            <w:r>
              <w:rPr>
                <w:rFonts w:eastAsia="Times New Roman"/>
                <w:bCs/>
                <w:i/>
                <w:color w:val="000000"/>
                <w:lang w:val="ru-RU" w:eastAsia="ru-RU"/>
              </w:rPr>
              <w:t>(пример заполнения заявки для инициирования и участия в согласованиях)</w:t>
            </w:r>
          </w:p>
          <w:p>
            <w:pPr>
              <w:pStyle w:val="Normal"/>
              <w:widowControl w:val="false"/>
              <w:pBdr/>
              <w:ind w:firstLine="225"/>
              <w:jc w:val="both"/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ru-RU"/>
              </w:rPr>
            </w:r>
          </w:p>
          <w:tbl>
            <w:tblPr>
              <w:tblW w:w="14348" w:type="dxa"/>
              <w:jc w:val="left"/>
              <w:tblInd w:w="0" w:type="dxa"/>
              <w:tblLayout w:type="fixed"/>
              <w:tblCellMar>
                <w:top w:w="0" w:type="dxa"/>
                <w:left w:w="45" w:type="dxa"/>
                <w:bottom w:w="0" w:type="dxa"/>
                <w:right w:w="45" w:type="dxa"/>
              </w:tblCellMar>
              <w:tblLook w:val="0000" w:noHBand="0" w:noVBand="0" w:firstColumn="0" w:lastRow="0" w:lastColumn="0" w:firstRow="0"/>
            </w:tblPr>
            <w:tblGrid>
              <w:gridCol w:w="360"/>
              <w:gridCol w:w="1386"/>
              <w:gridCol w:w="974"/>
              <w:gridCol w:w="1242"/>
              <w:gridCol w:w="1358"/>
              <w:gridCol w:w="1090"/>
              <w:gridCol w:w="1712"/>
              <w:gridCol w:w="525"/>
              <w:gridCol w:w="1782"/>
              <w:gridCol w:w="1963"/>
              <w:gridCol w:w="1954"/>
            </w:tblGrid>
            <w:tr>
              <w:trPr>
                <w:trHeight w:val="3606" w:hRule="atLeast"/>
              </w:trPr>
              <w:tc>
                <w:tcPr>
                  <w:tcW w:w="3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№ 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п/п </w:t>
                  </w:r>
                </w:p>
              </w:tc>
              <w:tc>
                <w:tcPr>
                  <w:tcW w:w="13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Организация,</w:t>
                  </w:r>
                </w:p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Подразделение</w:t>
                  </w:r>
                </w:p>
              </w:tc>
              <w:tc>
                <w:tcPr>
                  <w:tcW w:w="9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Фамилия, имя, отчество </w:t>
                  </w:r>
                </w:p>
              </w:tc>
              <w:tc>
                <w:tcPr>
                  <w:tcW w:w="12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Должность</w:t>
                  </w:r>
                </w:p>
              </w:tc>
              <w:tc>
                <w:tcPr>
                  <w:tcW w:w="13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Необходимые права для работы в системе*</w:t>
                  </w:r>
                </w:p>
              </w:tc>
              <w:tc>
                <w:tcPr>
                  <w:tcW w:w="10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СНИЛС**</w:t>
                  </w:r>
                </w:p>
              </w:tc>
              <w:tc>
                <w:tcPr>
                  <w:tcW w:w="17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e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-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mail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**</w:t>
                  </w:r>
                </w:p>
              </w:tc>
              <w:tc>
                <w:tcPr>
                  <w:tcW w:w="525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тел.</w:t>
                  </w:r>
                </w:p>
              </w:tc>
              <w:tc>
                <w:tcPr>
                  <w:tcW w:w="1782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Наименование информационного ресурса***</w:t>
                  </w:r>
                </w:p>
              </w:tc>
              <w:tc>
                <w:tcPr>
                  <w:tcW w:w="1963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Режим работы</w:t>
                    <w:br/>
                  </w:r>
                  <w: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val="ru-RU" w:eastAsia="ru-RU"/>
                    </w:rPr>
                    <w:t>Предполагаемый период времени работы пользователя в автоматизированной системе или информационном ресурсе. (например с 9-00 до 18-00, пн-пт)****</w:t>
                  </w:r>
                </w:p>
              </w:tc>
              <w:tc>
                <w:tcPr>
                  <w:tcW w:w="1954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Наименование </w:t>
                  </w:r>
                </w:p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полномочия ИОГВ, при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исполнении которого необходим доступ к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информационному ресурсу, а также наименование государственной услуги (процедуры), которую будет оказывать (исполнять) сотрудник</w:t>
                  </w:r>
                </w:p>
              </w:tc>
            </w:tr>
            <w:tr>
              <w:trPr/>
              <w:tc>
                <w:tcPr>
                  <w:tcW w:w="3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1</w:t>
                  </w:r>
                </w:p>
              </w:tc>
              <w:tc>
                <w:tcPr>
                  <w:tcW w:w="13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ГУП «Инженерные сети»</w:t>
                  </w:r>
                </w:p>
              </w:tc>
              <w:tc>
                <w:tcPr>
                  <w:tcW w:w="9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Иванов Петр Сергеевич</w:t>
                  </w:r>
                </w:p>
              </w:tc>
              <w:tc>
                <w:tcPr>
                  <w:tcW w:w="12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Начальник отдела оформления разрешений</w:t>
                  </w:r>
                </w:p>
              </w:tc>
              <w:tc>
                <w:tcPr>
                  <w:tcW w:w="13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Создавать согласования</w:t>
                  </w:r>
                </w:p>
              </w:tc>
              <w:tc>
                <w:tcPr>
                  <w:tcW w:w="10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1234567890</w:t>
                  </w:r>
                </w:p>
              </w:tc>
              <w:tc>
                <w:tcPr>
                  <w:tcW w:w="17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ivanov@example.ru</w:t>
                  </w:r>
                </w:p>
              </w:tc>
              <w:tc>
                <w:tcPr>
                  <w:tcW w:w="525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+7 (812) 123-45-67</w:t>
                  </w:r>
                </w:p>
              </w:tc>
              <w:tc>
                <w:tcPr>
                  <w:tcW w:w="1782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Государственная информационная система Санкт-Петербурга «Единая система строительного комплекса Санкт</w:t>
                    <w:noBreakHyphen/>
                    <w:t>Петербурга»</w:t>
                  </w:r>
                </w:p>
              </w:tc>
              <w:tc>
                <w:tcPr>
                  <w:tcW w:w="1963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val="ru-RU" w:eastAsia="ru-RU"/>
                    </w:rPr>
                    <w:t>с 9-00 до 18-00, пн-пт</w:t>
                  </w:r>
                </w:p>
              </w:tc>
              <w:tc>
                <w:tcPr>
                  <w:tcW w:w="1954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Инициирование согласований, необходимых при проведении работ по подключению к инженерным сетям</w:t>
                  </w:r>
                </w:p>
              </w:tc>
            </w:tr>
            <w:tr>
              <w:trPr/>
              <w:tc>
                <w:tcPr>
                  <w:tcW w:w="3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2</w:t>
                  </w:r>
                </w:p>
              </w:tc>
              <w:tc>
                <w:tcPr>
                  <w:tcW w:w="13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ГУП «Инженерные сети»</w:t>
                  </w:r>
                </w:p>
              </w:tc>
              <w:tc>
                <w:tcPr>
                  <w:tcW w:w="9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Петров Сергей Сергеевич</w:t>
                  </w:r>
                </w:p>
              </w:tc>
              <w:tc>
                <w:tcPr>
                  <w:tcW w:w="12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Начальник отдела согласований</w:t>
                  </w:r>
                </w:p>
              </w:tc>
              <w:tc>
                <w:tcPr>
                  <w:tcW w:w="13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Участвовать в согласованиях</w:t>
                  </w:r>
                </w:p>
              </w:tc>
              <w:tc>
                <w:tcPr>
                  <w:tcW w:w="109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2234567890</w:t>
                  </w:r>
                </w:p>
              </w:tc>
              <w:tc>
                <w:tcPr>
                  <w:tcW w:w="17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petrov@example.ru</w:t>
                  </w:r>
                </w:p>
              </w:tc>
              <w:tc>
                <w:tcPr>
                  <w:tcW w:w="525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+7 (812) 123-45-68</w:t>
                  </w:r>
                </w:p>
              </w:tc>
              <w:tc>
                <w:tcPr>
                  <w:tcW w:w="1782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Государственная информационная система Санкт-Петербурга «Единая система строительного комплекса Санкт</w:t>
                    <w:noBreakHyphen/>
                    <w:t>Петербурга»</w:t>
                  </w:r>
                </w:p>
              </w:tc>
              <w:tc>
                <w:tcPr>
                  <w:tcW w:w="1963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val="ru-RU" w:eastAsia="ru-RU"/>
                    </w:rPr>
                    <w:t>с 9-00 до 18-00, пн-пт</w:t>
                  </w:r>
                </w:p>
              </w:tc>
              <w:tc>
                <w:tcPr>
                  <w:tcW w:w="1954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Участие в согласованиях, необходимых при проведении работ по подключению к инженерным сетям</w:t>
                  </w:r>
                </w:p>
              </w:tc>
            </w:tr>
            <w:tr>
              <w:trPr/>
              <w:tc>
                <w:tcPr>
                  <w:tcW w:w="3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r>
                </w:p>
              </w:tc>
              <w:tc>
                <w:tcPr>
                  <w:tcW w:w="13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r>
                </w:p>
              </w:tc>
              <w:tc>
                <w:tcPr>
                  <w:tcW w:w="8683" w:type="dxa"/>
                  <w:gridSpan w:val="7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  <w:t>Итого установок для доступа:</w:t>
                  </w:r>
                </w:p>
              </w:tc>
              <w:tc>
                <w:tcPr>
                  <w:tcW w:w="19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r>
                </w:p>
              </w:tc>
              <w:tc>
                <w:tcPr>
                  <w:tcW w:w="19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pBdr/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  <w:lang w:val="ru-RU" w:eastAsia="ru-RU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pBdr/>
              <w:ind w:firstLine="225"/>
              <w:jc w:val="both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eastAsia="Times New Roman"/>
                <w:lang w:val="ru-RU" w:eastAsia="ru-RU"/>
              </w:rPr>
            </w:pPr>
            <w:r>
              <w:rPr>
                <w:rFonts w:eastAsia="Times New Roman"/>
                <w:lang w:val="ru-RU" w:eastAsia="ru-RU"/>
              </w:rPr>
            </w:r>
          </w:p>
          <w:tbl>
            <w:tblPr>
              <w:tblW w:w="14354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HBand="0" w:noVBand="1" w:firstColumn="1" w:lastRow="0" w:lastColumn="0" w:firstRow="1"/>
            </w:tblPr>
            <w:tblGrid>
              <w:gridCol w:w="7192"/>
              <w:gridCol w:w="7161"/>
            </w:tblGrid>
            <w:tr>
              <w:trPr/>
              <w:tc>
                <w:tcPr>
                  <w:tcW w:w="7192" w:type="dxa"/>
                  <w:tcBorders/>
                  <w:shd w:color="auto" w:fill="auto" w:val="clear"/>
                </w:tcPr>
                <w:p>
                  <w:pPr>
                    <w:pStyle w:val="Normal"/>
                    <w:widowControl w:val="false"/>
                    <w:pBdr/>
                    <w:jc w:val="both"/>
                    <w:rPr>
                      <w:rFonts w:eastAsia="Times New Roman"/>
                      <w:b/>
                      <w:b/>
                      <w:lang w:val="ru-RU" w:eastAsia="ru-RU"/>
                    </w:rPr>
                  </w:pPr>
                  <w:r>
                    <w:rPr>
                      <w:rFonts w:eastAsia="Times New Roman"/>
                      <w:b/>
                      <w:lang w:val="ru-RU" w:eastAsia="ru-RU"/>
                    </w:rPr>
                    <w:t>Должность руководителя организации</w:t>
                  </w:r>
                </w:p>
              </w:tc>
              <w:tc>
                <w:tcPr>
                  <w:tcW w:w="7161" w:type="dxa"/>
                  <w:tcBorders/>
                  <w:shd w:color="auto" w:fill="auto" w:val="clear"/>
                </w:tcPr>
                <w:p>
                  <w:pPr>
                    <w:pStyle w:val="Normal"/>
                    <w:widowControl w:val="false"/>
                    <w:pBdr/>
                    <w:jc w:val="right"/>
                    <w:rPr>
                      <w:rFonts w:eastAsia="Times New Roman"/>
                      <w:b/>
                      <w:b/>
                      <w:lang w:val="ru-RU" w:eastAsia="ru-RU"/>
                    </w:rPr>
                  </w:pPr>
                  <w:r>
                    <w:rPr>
                      <w:rFonts w:eastAsia="Times New Roman"/>
                      <w:b/>
                      <w:lang w:val="ru-RU" w:eastAsia="ru-RU"/>
                    </w:rPr>
                    <w:t>ФИО</w:t>
                  </w:r>
                </w:p>
              </w:tc>
            </w:tr>
          </w:tbl>
          <w:p>
            <w:pPr>
              <w:pStyle w:val="Normal"/>
              <w:widowControl w:val="false"/>
              <w:pBdr/>
              <w:rPr>
                <w:rFonts w:eastAsia="Times New Roman"/>
                <w:color w:val="FF0000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color w:val="FF0000"/>
                <w:sz w:val="22"/>
                <w:szCs w:val="22"/>
                <w:lang w:val="ru-RU" w:eastAsia="ru-RU"/>
              </w:rPr>
            </w:r>
          </w:p>
        </w:tc>
      </w:tr>
    </w:tbl>
    <w:p>
      <w:pPr>
        <w:pStyle w:val="A"/>
        <w:pBdr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type w:val="nextPage"/>
      <w:pgSz w:orient="landscape" w:w="16838" w:h="11906"/>
      <w:pgMar w:left="1134" w:right="1134" w:gutter="0" w:header="0" w:top="1559" w:footer="0" w:bottom="70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Helvetica Neue">
    <w:charset w:val="01"/>
    <w:family w:val="roman"/>
    <w:pitch w:val="variable"/>
  </w:font>
  <w:font w:name="Times New Roman">
    <w:charset w:val="01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>
        <w:rFonts w:cs="Times New Roman"/>
      </w:rPr>
    </w:lvl>
  </w:abstractNum>
  <w:abstractNum w:abstractNumId="2"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/>
      </w:rPr>
    </w:lvl>
  </w:abstractNum>
  <w:abstractNum w:abstractNumId="4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5"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191" w:hanging="264"/>
      </w:p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257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50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78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7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00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92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216" w:hanging="1800"/>
      </w:pPr>
    </w:lvl>
  </w:abstractNum>
  <w:abstractNum w:abstractNumId="6"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Calibri" w:asciiTheme="minorHAnsi" w:cs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62ffa"/>
    <w:pPr>
      <w:widowControl/>
      <w:pBdr/>
      <w:bidi w:val="0"/>
      <w:spacing w:lineRule="auto" w:line="240"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US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aa58bf"/>
    <w:pPr>
      <w:keepNext w:val="true"/>
      <w:pBdr/>
      <w:spacing w:before="0" w:after="120"/>
      <w:jc w:val="center"/>
      <w:outlineLvl w:val="0"/>
    </w:pPr>
    <w:rPr>
      <w:rFonts w:eastAsia="Calibri" w:eastAsiaTheme="minorHAnsi"/>
      <w:b/>
      <w:lang w:val="ru-RU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fe1c55"/>
    <w:pPr>
      <w:keepNext w:val="true"/>
      <w:spacing w:before="0" w:after="0"/>
      <w:contextualSpacing/>
      <w:jc w:val="center"/>
      <w:outlineLvl w:val="1"/>
    </w:pPr>
    <w:rPr>
      <w:b/>
      <w:lang w:val="ru-RU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0e085b"/>
    <w:pPr>
      <w:keepNext w:val="true"/>
      <w:widowControl w:val="false"/>
      <w:pBdr/>
      <w:jc w:val="right"/>
      <w:outlineLvl w:val="2"/>
    </w:pPr>
    <w:rPr>
      <w:b/>
      <w:lang w:val="ru-RU"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aa58bf"/>
    <w:rPr>
      <w:rFonts w:ascii="Times New Roman" w:hAnsi="Times New Roman" w:eastAsia="Calibri" w:cs="Times New Roman" w:eastAsiaTheme="minorHAnsi"/>
      <w:b/>
      <w:sz w:val="24"/>
      <w:szCs w:val="24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fe1c55"/>
    <w:rPr>
      <w:rFonts w:ascii="Times New Roman" w:hAnsi="Times New Roman" w:eastAsia="Arial Unicode MS" w:cs="Times New Roman"/>
      <w:b/>
      <w:sz w:val="24"/>
      <w:szCs w:val="24"/>
    </w:rPr>
  </w:style>
  <w:style w:type="character" w:styleId="Style11">
    <w:name w:val="Интернет-ссылка"/>
    <w:basedOn w:val="DefaultParagraphFont"/>
    <w:uiPriority w:val="99"/>
    <w:unhideWhenUsed/>
    <w:rsid w:val="00856554"/>
    <w:rPr>
      <w:color w:val="0563C1" w:themeColor="hyperlink"/>
      <w:u w:val="single"/>
    </w:rPr>
  </w:style>
  <w:style w:type="character" w:styleId="Style12" w:customStyle="1">
    <w:name w:val="Основной текст с отступом Знак"/>
    <w:basedOn w:val="DefaultParagraphFont"/>
    <w:link w:val="a8"/>
    <w:uiPriority w:val="99"/>
    <w:qFormat/>
    <w:rsid w:val="00e03633"/>
    <w:rPr>
      <w:rFonts w:ascii="Times New Roman" w:hAnsi="Times New Roman" w:eastAsia="Calibri" w:cs="Times New Roman"/>
      <w:sz w:val="24"/>
      <w:szCs w:val="24"/>
      <w:lang w:eastAsia="ru-RU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0e085b"/>
    <w:rPr>
      <w:rFonts w:ascii="Times New Roman" w:hAnsi="Times New Roman" w:eastAsia="Arial Unicode MS" w:cs="Times New Roman"/>
      <w:b/>
      <w:sz w:val="24"/>
      <w:szCs w:val="24"/>
      <w:lang w:eastAsia="ru-RU"/>
    </w:rPr>
  </w:style>
  <w:style w:type="character" w:styleId="22" w:customStyle="1">
    <w:name w:val="Основной текст с отступом 2 Знак"/>
    <w:basedOn w:val="DefaultParagraphFont"/>
    <w:link w:val="21"/>
    <w:uiPriority w:val="99"/>
    <w:qFormat/>
    <w:rsid w:val="0006027d"/>
    <w:rPr>
      <w:rFonts w:ascii="Times New Roman" w:hAnsi="Times New Roman" w:cs="Times New Roman"/>
      <w:lang w:eastAsia="ru-RU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Lohit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A" w:customStyle="1">
    <w:name w:val="Текстовый блок A"/>
    <w:qFormat/>
    <w:rsid w:val="00162ffa"/>
    <w:pPr>
      <w:widowControl/>
      <w:pBdr/>
      <w:bidi w:val="0"/>
      <w:spacing w:lineRule="auto" w:line="240" w:before="0" w:after="0"/>
      <w:jc w:val="left"/>
    </w:pPr>
    <w:rPr>
      <w:rFonts w:ascii="Helvetica Neue" w:hAnsi="Helvetica Neue" w:eastAsia="Arial Unicode MS" w:cs="Arial Unicode MS"/>
      <w:color w:val="000000"/>
      <w:kern w:val="0"/>
      <w:sz w:val="22"/>
      <w:szCs w:val="22"/>
      <w:u w:val="none" w:color="000000"/>
      <w:lang w:eastAsia="ru-RU" w:val="ru-RU" w:bidi="ar-SA"/>
    </w:rPr>
  </w:style>
  <w:style w:type="paragraph" w:styleId="ListParagraph">
    <w:name w:val="List Paragraph"/>
    <w:basedOn w:val="Normal"/>
    <w:uiPriority w:val="34"/>
    <w:qFormat/>
    <w:rsid w:val="00ce309b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7017c9"/>
    <w:pPr>
      <w:widowControl/>
      <w:pBdr/>
      <w:bidi w:val="0"/>
      <w:spacing w:lineRule="auto" w:line="240"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856554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Style18">
    <w:name w:val="Body Text Indent"/>
    <w:basedOn w:val="Normal"/>
    <w:link w:val="a9"/>
    <w:uiPriority w:val="99"/>
    <w:unhideWhenUsed/>
    <w:rsid w:val="00e03633"/>
    <w:pPr>
      <w:pBdr/>
      <w:spacing w:before="0" w:after="0"/>
      <w:ind w:firstLine="567"/>
      <w:contextualSpacing/>
      <w:jc w:val="both"/>
    </w:pPr>
    <w:rPr>
      <w:rFonts w:eastAsia="Calibri"/>
      <w:lang w:val="ru-RU" w:eastAsia="ru-RU"/>
    </w:rPr>
  </w:style>
  <w:style w:type="paragraph" w:styleId="BodyTextIndent2">
    <w:name w:val="Body Text Indent 2"/>
    <w:basedOn w:val="Normal"/>
    <w:link w:val="22"/>
    <w:uiPriority w:val="99"/>
    <w:unhideWhenUsed/>
    <w:qFormat/>
    <w:rsid w:val="0006027d"/>
    <w:pPr>
      <w:pBdr/>
      <w:ind w:firstLine="604"/>
    </w:pPr>
    <w:rPr>
      <w:rFonts w:eastAsia="Times New Roman"/>
      <w:sz w:val="22"/>
      <w:szCs w:val="22"/>
      <w:lang w:val="ru-RU" w:eastAsia="ru-RU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essk.gov.spb.ru/public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5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22.png"/><Relationship Id="rId39" Type="http://schemas.openxmlformats.org/officeDocument/2006/relationships/image" Target="media/image32.png"/><Relationship Id="rId40" Type="http://schemas.openxmlformats.org/officeDocument/2006/relationships/numbering" Target="numbering.xml"/><Relationship Id="rId41" Type="http://schemas.openxmlformats.org/officeDocument/2006/relationships/fontTable" Target="fontTable.xml"/><Relationship Id="rId42" Type="http://schemas.openxmlformats.org/officeDocument/2006/relationships/settings" Target="settings.xml"/><Relationship Id="rId43" Type="http://schemas.openxmlformats.org/officeDocument/2006/relationships/theme" Target="theme/theme1.xml"/><Relationship Id="rId4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49542-99D7-48F3-858E-A06B22EC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Application>LibreOffice/7.2.5.2$Linux_X86_64 LibreOffice_project/20$Build-2</Application>
  <AppVersion>15.0000</AppVersion>
  <Pages>19</Pages>
  <Words>2975</Words>
  <Characters>21651</Characters>
  <CharactersWithSpaces>24388</CharactersWithSpaces>
  <Paragraphs>268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2021-12-20T12:22:00Z</dcterms:created>
  <dc:creator>ККВ</dc:creator>
  <dc:description/>
  <dc:language>ru-RU</dc:language>
  <cp:lastModifiedBy/>
  <dcterms:modified xsi:type="dcterms:W3CDTF">2022-03-16T17:33:30Z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